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AGVE_2006_15 vom 24. August 2006</w:t>
      </w:r>
    </w:p>
    <w:p>
      <w:r>
        <w:t>Ag Strafgericht, 2006-08-24, DE</w:t>
      </w:r>
    </w:p>
    <w:p>
      <w:r>
        <w:rPr>
          <w:b/>
        </w:rPr>
        <w:t xml:space="preserve">Quelle: </w:t>
      </w:r>
      <w:r>
        <w:t>https://mcp.opencaselaw.ch/entscheid/ag_strafgericht_AGVE_2006_15</w:t>
      </w:r>
    </w:p>
    <w:p>
      <w:r>
        <w:t>FR: AG_STRAFGERICHT AGVE_2006_15 du 24 août 2006</w:t>
      </w:r>
    </w:p>
    <w:p>
      <w:r>
        <w:t>IT: AG_STRAFGERICHT AGVE_2006_15 del 24 agosto 2006</w:t>
      </w:r>
    </w:p>
    <w:p>
      <w:pPr>
        <w:pStyle w:val="Heading2"/>
      </w:pPr>
      <w:r>
        <w:t>Regeste</w:t>
      </w:r>
    </w:p>
    <w:p>
      <w:r>
        <w:t>§ 56 Abs. 1 Ziff. 3, § 141 Abs. 1 , § 165 Abs. 1 StPO - Legitimation zur selbstständigen Geltendmachung von Zivilansprüchen der rückgriffsberechtigten Versicherung im Adhäsionsverfahren. Im Kanton Aargau besteht die konstante Praxis, die Aargauische Gebäudeversicherungsanstalt und auch andere Versicherer als Zivilkläger zuzulassen, wenn eine Forderung gemäss Art. 72 Abs. 1 Versicherungsvertragsgesetz kraft Subrogation auf sie übergegangen ist respektive wenn sie gemäss § 51 Gebäudeversicherungsgesetz rückgriffsberechtigt sind (E. 3). - Das Rückgriffsrecht der kantonalen Brandversicherungsanstalten fällt gemäss ständiger Rechtsprechung unter das Bundesprivatrecht. Ein entsprechender Anspruch darf somit im Adhäsionsverfahren als privatrechtlicher beurteilt werden (E. 4).</w:t>
      </w:r>
    </w:p>
    <w:p>
      <w:pPr>
        <w:pStyle w:val="Heading2"/>
      </w:pPr>
      <w:r>
        <w:t>Erwägungen</w:t>
      </w:r>
    </w:p>
    <w:p>
      <w:r>
        <w:rPr>
          <w:b/>
        </w:rPr>
        <w:t>E. 14</w:t>
      </w:r>
    </w:p>
    <w:p>
      <w:r>
        <w:t>§ 38 und § 112 Gemeindegesetz Der Bezirksgerichtspräsident als Einzelrichter ist zur Ausfällung und Beurteilung von Bussen wegen Widerhandlungen gegen das Polizeiregle- ment einer Gemeinde gemäss der abschliessenden Regelung im Ge- meindegesetz nur dann zuständig, wenn der Gemeinderat solche Bussen erlassen und der Gebüsste dagegen Beschwerde erhoben hat (§ 38 und § 112 Gemeindegesetz). Ob überhaupt ein Verfahren eröffnet und jemand wegen solcher Widerhandlungen gebüsst werden soll, entscheidet allein der Gemeinderat (§ 4 StPO). Die Staatsanwaltschaft ist in einem solchen Verfahren nicht beteiligt und hat auch keine Parteirechte. Aus dem Entscheid des Obergerichts, 2. Strafkammer, vom 20. Juni 2006 i.S. M.S.</w:t>
      </w:r>
    </w:p>
    <w:p>
      <w:r>
        <w:rPr>
          <w:b/>
        </w:rPr>
        <w:t>E. 15</w:t>
      </w:r>
    </w:p>
    <w:p>
      <w:r>
        <w:t>§ 56 Abs. 1 Ziff. 3, § 141 Abs. 1 , § 165 Abs. 1 StPO • Legitimation zur selbstständigen Geltendmachung von Zivilansprüchen der rückgriffsberechtigten Versicherung im Adhäsionsverfahren. Im Kanton Aargau besteht die konstante Praxis, die Aargauische Gebäude-</w:t>
      </w:r>
    </w:p>
    <w:p>
      <w:r>
        <w:t>62 Obergericht 2006 versicherungsanstalt und auch andere Versicherer als Zivilkläger zuzu- lassen, wenn eine Forderung gemäss Art. 72 Abs. 1 Versicherungsver- tragsgesetz kraft Subrogation auf sie übergegangen ist respektive wenn sie gemäss § 51 Gebäudeversicherungsgesetz rückgriffsberechtigt sind (E. 3). • Das Rückgriffsrecht der kantonalen Brandversicherungsanstalten fällt gemäss ständiger Rechtsprechung unter das Bundesprivatrecht. Ein ent- sprechender Anspruch darf somit im Adhäsionsverfahren als privat- rechtlicher beurteilt werden (E. 4).</w:t>
      </w:r>
    </w:p>
    <w:p>
      <w:r>
        <w:t>Aus dem Entscheid des Obergerichts, 2. Strafkammer, vom 24. August 2006 i.S. Staatsanwaltschaft und Aargauische Gebäudeversicherungsanstalt gegen H.M.G.</w:t>
      </w:r>
    </w:p>
    <w:p>
      <w:r>
        <w:t>Das Bundesgericht hat die gegen den Entscheid erhobene staatsrechtliche Beschwer- de abgewiesen (1P.759/2006). Aus den Erwägungen</w:t>
      </w:r>
    </w:p>
    <w:p>
      <w:r>
        <w:t>3. 3.1. 3.1.1. Gemäss § 56 Abs. 1 Ziff. 3 StPO ist der Verletzte oder Geschä- digte, wenn er privatrechtliche Ansprüche aus einer strafbaren Hand- lung geltend macht (Zivilkläger), Partei im Strafverfahren. Als Ge- schädigter im Sinne von § 56 Abs. 1 Ziff. 3 sowie § 141 Abs. 1 StPO gilt, wer unmittelbar aus dem gleichen Tatgeschehen, das Gegen- stand des Verfahrens bildet, einen Schaden ableitet (AGVE 1976 Nr. 37 S. 116 f. […]). Der Geschädigte hat – im Hinblick auf eine von ihm im gericht- lichen Adhäsionsprozess einzureichende Zivilklage – schon im dem Adhäsionsprozess vorgelagerten Untersuchungsverfahren gewisse Beteiligungs- und Einwirkungsrechte. Zivilkläger im prozessrechtli-</w:t>
      </w:r>
    </w:p>
    <w:p>
      <w:r>
        <w:t>2006 Strafprozessrecht 63 chen Sinn ist aber nur die zum Adhäsionsbeklagten in einem Prozess- rechtsverhältnis stehende Partei des Adhäsionsprozesses. Wenn die Strafprozessordnung schon im Vorverfahren, wo ein Adhäsionspro- zess noch gar nicht stattfindet und dementsprechend auch nicht von einem Zivilkläger gesprochen werden kann, gewisse Rechte an die Zivilklägereigenschaft anknüpft, so deshalb, weil nur derjenige, der tatsächlich einen privatrechtlichen Anspruch geltend machen will, am Vorverfahren soll teilnehmen dürfen. Einwirkungsrechte im Vor- verfahren soll ausüben dürfen, wer mutmasslich vor dem Strafrichter privatrechtliche Ansprüche stellen wird (Peter Conrad, Die Adhäsion im aargauischen Strafprozess, Diss. Baden 1972, S. 101). 3.1.2. Die aktuelle Lehre und Rechtsprechung gehen davon aus, dass eine mittelbare Beeinträchtigung, die erst durch das Hinzutreten weiterer Elemente, z.B. durch eine Schadenersatzpflicht gemäss Ver- trag oder Gesetz, eintritt, keine Geschädigten-Eigenschaft begründet. So ist die Versicherung, bei welcher der Verletzte versichert ist, nicht in der Lage, strafprozessuale Rechte als Geschädigte auszuüben. Hingegen kann sie kraft Subrogation (Art. 72 Abs. 1 Versicherungs- vertragsgesetz [VVG]) die an sie übergegangenen vermögensrechtli- chen Ansprüche adhäsionsweise im Strafverfahren geltend machen (Hauser/Schweri/Hartmann, Schweizerisches Strafprozessrecht, 6. Auflage, Basel/Genf/München 2005, § 38 N 3; Niklaus Schmid, Strafprozessrecht, 4. Auflage, Zürich 2004, N 505 S. 167; Niklaus Oberholzer, Grundzüge des Strafprozessrechts, 2. Auflage, Bern 2005, S. 252 N 583). Eine analoge Regelung besteht im Gebäudever- sicherungsgesetz: Gestützt auf § 51 GebVG erhält die Gebäudeversi- cherungsanstalt für die bezahlten Entschädigungssummen ein Rück- griffsrecht auf die Fehlbaren. 3.2. Nach dem oben Ausgeführten sind demnach bezüglich der Zivilklägerstellung zwei Phasen zu unterscheiden, nämlich zum ei- nen das Untersuchungsverfahren und zum anderen das Gerichtsver- fahren. Für die Stellung als Geschädigter im Rahmen des Untersu- chungsverfahrens ist unerheblich, ob im Ermittlungs- oder Untersu- chungsverfahren ein Schaden beweisbar oder nachgewiesen ist. Wer</w:t>
      </w:r>
    </w:p>
    <w:p>
      <w:r>
        <w:t>64 Obergericht 2006 mutmasslich zivilrechtliche Ansprüche vor dem Strafrichter stellen wird, soll in der Strafuntersuchung Einwirkungsrechte ausüben dür- fen. Indessen soll nur dem unmittelbar Verletzten die Möglichkeit ge- boten werden, dazu beizutragen, dass der Täter für die ihm zugefügte Unbill der gesetzlichen Strafe zugeführt und das Unrecht so gesühnt wird, weshalb nur diesem im Untersuchungsverfahren strafprozes- suale Parteirechte zugestanden werden. In diesem Sinne ist zwischen dem "unmittelbar" Geschädigten und dem lediglich zur Erhebung einer Adhäsionsklage befugten "mit- telbar" Geschädigten zu unterscheiden. Die Befugnis des mittelbar Geschädigten setzt die Existenz einer tatbestandlich verletzten und daher unmittelbar geschädigten Person voraus, an deren Stelle der in ihre Rechte eingetretene bzw. kraft eines besonderen Rechtsverhält- nisses von einer strafbaren Handlung mitbetroffene "mittelbare" Ge- schädigte die Adhäsionsklage erheben kann (ZR 1975 [74] Nr. 47, S. 91). Die aargauische StPO unterscheidet denn auch zwischen "Verletztem" und "Geschädigtem" (vgl. § 56 Abs. 1 Ziff. 3 StPO). Verletzter einer Straftat ist der Träger des unmittelbar angegriffenen Rechtsgutes (was nicht immer einen privatrechtlichen Anspruch auslösen muss [etwa wenn ein Delikt im Versuchsstadium stecken bleibt]). Geschädigter ist, wer einen Vermögensschaden erlitten hat. Conrad (a.a.O., S. 103 f.) folgert aus der separaten Erwähnung des Geschädigten in der Strafprozessordnung, dass nicht nur derjenige, in dessen Rechtsgut die strafbare Handlung unmittelbar eingegriffen hat, zur Adhäsionsklage legitimiert ist, sondern jeder, der mit der strafbaren Tat einen konnexen Anspruch hat bzw. zu haben be- hauptet, also zum Beispiel auch der Schadenversicherer, der den Verletzten befriedigt habe (wobei er auf Art. 72 VVG verweist), oder der Zessionar. Conrad (a.a.O., S. 105) verweist dabei auch auf einen veröffentlichten Entscheid des Obergerichts (AGVE 1963, Nr. 51, S. 183 f.). Darin wird ebenfalls auf die gesetzliche Unterscheidung von Verletztem und Geschädigtem gemäss § 56 StPO verwiesen. Die adhäsionsweise Verfolgung von Zivilansprüchen könne nicht nur dem Träger des durch den angewendeten Straftatbestand geschützten Rechtsguts allein offen stehen. Als Geschädigter sei jedermann zur Zivilklage zuzulassen, der gegen den Angeklagten privatrechtliche</w:t>
      </w:r>
    </w:p>
    <w:p>
      <w:r>
        <w:t>2006 Strafprozessrecht 65 Ansprüche aus einer dem Schuldspruch zugrunde liegenden Hand- lung zu haben behaupte. Im vom Verurteilten zitierten nicht in der amtlichen Sammlung veröffentlichten Bundesgerichtsentscheid (1P.620/2001) ist zwar er- wähnt, dass mittelbare Beeinträchtigungen nicht ausreichend seien, um sich als Zivilkläger zu konstituieren, und subrogierte Ansprüche (vom Adhäsionsverfahren) ebenso ausgeschlossen seien. Indessen wird weiter auch ausgeführt, ausgenommen seien Fälle, in welchen dies die kantonale Gesetzgebung ausdrücklich zulasse (E. 2.1). Zwar besteht im aargauischen Recht keine entsprechende Bestimmung, indessen ist die Zulassung von Versicherungen als Zivilkläger in Ad- häsionsprozessen zufolge Rückgriffs im Kanton Aargau als richterli- ches Recht für die Gerichte ebenfalls bindend (vgl. zur Anerkennung des Richterrechts als Rechtsquelle: Häfelin/Müller, Grundriss des all- gemeinen Verwaltungsrechts, 4. Auflage, Zürich 2002, N 208 ff.). (…) 3.3. Zusammenfassend ist somit festzuhalten, dass Lehre und Recht- sprechung auch mittelbar Geschädigte als Zivilkläger zulassen und im Aargau eine entsprechende Praxis besteht, welche bereits im er- wähnten AGVE aus dem Jahr 1963 veröffentlicht worden ist. Conrad erwähnt weitere Entscheide (a.a.O., S. 103, Anm. 8), und schliesslich sei auf das vom AVA im vorinstanzlichen Verfahren eingereichte Ur- teil des Obergerichts vom 15. Februar 2001 verwiesen (vgl. act. 343 ff.). Die AGVA ist dementsprechend im vorliegenden Verfahren als Zivilklägerin zuzulassen. Entgegen dem vorinstanzlichen Rubrum ist aber festzuhalten, dass die Zivilklägereigenschaft der AGVA zu- kommt, welche gemäss § 1 Abs. 1 GebVG eine juristische Person des kantonalen öffentlichen Rechts ist. 4. Gemäss § 165 Abs. 1 StPO ist im Adhäsionsurteil (nur) über "privatrechtliche" Ansprüche zu entscheiden. Der Adhäsionsprozess ist ein dem Strafverfahren angeschlossener Zivilprozess (Conrad a.a.O., S. 37). Zu prüfen ist somit, ob der Anspruch der AGVA auf dem öffentlichen oder dem Privatrecht gründet.</w:t>
      </w:r>
    </w:p>
    <w:p>
      <w:r>
        <w:t>66 Obergericht 2006 4.1. Gemäss § 1 Abs. 1 GebVG handelt es sich bei der AGVA um eine juristische Person des kantonalen öffentlichen Rechtes. Das Rechtsverhältnis zwischen öffentlichrechtlicher Anstalt und deren Benützern (Innenverhältnis) kann grundsätzlich dem privaten oder dem öffentlichen Recht unterstehen (Häfelin/Müller a.a.O., N 1327; Reto Arpagaus, Die selbständigen öffentlichen Anstalten des Kantons Aargau, Aarau 1968, S. 78 ff.). Das Benützungsverhältnis der AGVA im Besonderen untersteht dem öffentlichen Recht (Arpagaus a.a.O., S. 96 ff.). Öffentlichrechtliche Anstalten können sich (im Aussenver- hältnis) des Privatrechts bedienen, indem sie z.B. gemäss den Be- stimmungen des Obligationenrechts Kaufverträge abschliessen und Aufträge oder Werkverträge vergeben (Häfelin/Haller, Schweizeri- sches Bundesstaatsrecht, 6. Auflage, Zürich 2005, N 276). Das Rückgriffsrecht der kantonalen Brandversicherungsanstal- ten fällt gemäss ständiger Rechtsprechung unter das Bun- des(privat)recht (Art. 51 Abs. 2 OR). Dies wird damit begründet, dass der Versicherte eine Prämie bezahlt und somit ein Verhältnis wie dasjenige im Privatversicherungsrecht besteht. Es liegt bei diesem Verhältnis keine Sozialversicherung vor, denn die Prämie wird risikogerecht berechnet und vom Versicherten allein getragen. Bei Fehlen eines speziellen Bundesgesetzes kommt Art. 51 Abs. 2 OR zur Anwendung. Somit ist die Stellung der kantonalen Anstalt derjenigen eines Privatversicherers, also aus Vertrag Haftenden, gleichzustellen. Die kantonalen Anstalten sind zwar dem VVG (Versicherungsvertragsgesetz) nicht unterstellt, so dass positivrecht- lich Art. 72 VVG hier nicht anwendbar ist. Im Ergebnis ändert dies aber nichts, da die Rechtsprechung die Tragweite dieser Bestimmung mit derjenigen von Art. 51 Abs. 2 OR harmonisiert hat (Roland Brehm in: Berner Kommentar, Obligationenrecht, Die Entstehung durch unerlaubte Handlungen, Art. 41-61 OR, 3. Auflage, Bern 2006, N 71 zu Art. 51, des Weiteren auch N 15). Art. 51 OR ist anwendbar ohne Rücksicht darauf, wie das kantonale Recht die Subrogation der Anstalt in die Schadenersatzansprüche des Geschädigten gegenüber dem Schädiger regelt; durch eine kantonale Subrogationsbestimmung kann das Rückgriffsrecht aus Art. 51 OR nicht zugunsten kantonaler</w:t>
      </w:r>
    </w:p>
    <w:p>
      <w:r>
        <w:t>2006 Strafprozessrecht 67 Versicherungsanstalten und zuungunsten des Schädigers abgeändert werden (BGE 50 II 186; BGE 77 II 243; BGE 96 II 172). 4.2. Vorliegend steht nicht ein Anspruch zwischen der AGVA und ei- nem ihrer Versicherten im Streit, sondern es geht um einen Anspruch aus dem Aussenverhältnis, indem die AGVA, welche die Versiche- rungsforderungen eines Versicherten befriedigt hat, sich am – bezüg- lich des Schadens zur AGVA in keiner rechtlichen Beziehung stehen- den – Schädiger schadlos halten will. Wie in der Berufungsantwort (S. 4) richtig ausgeführt wird, ist die AGVA nicht berechtigt, gegen- über Dritten, mit denen keine öffentlich-rechtlichen Beziehungen be- stehen, hoheitlich aufzutreten. Gemäss § 51 GebVG besteht für die AGVA ein Rückgriffsrecht auf die Fehlbaren für die bezahlten Entschädigungssummen, deren Zins sowie für die Kosten der Abschätzung. Wie oben dargelegt wurde, ist aber unabhängig von einer kantonalen Vorschrift Art. 51 OR und damit Bundeszivilrecht anwendbar. Es kann daher dahinge- stellt bleiben, ob die erwähnte kantonale Bestimmung die Ersatz- forderung des Geschädigten gegen den Schädiger von Gesetzes wegen auf die zahlende Brandversicherungsanstalt übergehen lassen will oder nur ein Rückgriffsrecht vorsieht, wie es Art. 51 OR schon von Bundesrechts wegen gewährt (vgl. auch BGE 96 II 172 E. 1). Die obigen Ausführungen haben gezeigt, dass es dabei entgegen den Ausführungen in der Berufung (S. 7) nicht um eine analoge Anwendung von Privatrecht geht, sondern dass dieses direkt zur An- wendung kommt. Die Stellung der AGVA ist im konkreten Fall derjenigen eines Privatversicherers gleichzustellen.</w:t>
      </w:r>
    </w:p>
    <w:p>
      <w:r>
        <w:t>Versicherungsgericht</w:t>
      </w:r>
    </w:p>
    <w:p>
      <w:r>
        <w:t>2006 Versicherungsgericht 71</w:t>
      </w:r>
    </w:p>
    <w:p>
      <w:r>
        <w:rPr>
          <w:b/>
        </w:rPr>
        <w:t>E. 16</w:t>
      </w:r>
    </w:p>
    <w:p>
      <w:r>
        <w:t>Art. 38, 52 ATSG Die Fristberechnung im Einspracheverfahren bestimmt sich ausschliess- lich nach Art. 38-41 ATSG. Für eine „analoge“ Anwendung kantonalen Rechts besteht kein Raum. Aus dem Entscheid des Versicherungsgerichts, 3. Kammer, vom 12. Sep- tember 2006 in Sachen A.L. gegen Amt für Wirtschaft und Arbeit (AWA). Aus den Erwägungen 2. Das ATSG regelt in seinem 4. Kapitel ("Allgemeine Verfahrens- bestimmungen") im 2. Abschnitt (Art. 34 - 55) das Sozialversiche- rungsverfahren und im 3. Abschnitt (Art. 56 - 62) das Rechtspflege- verfahren. Für das Sozialversicherungsverfahren, zu dem auch das Einspracheverfahren vor der verfügenden Instanz gehört (Art. 52 ATSG), findet sich in Art. 38 - 41 ATSG eine umfassende Regelung der Fristen, so in Art. 38 Abs. 4 über die Geltung der Gerichtsferien. Im Rahmen der Bestimmungen über das Rechtspflegeverfahren wird in Art. 60 Abs. 1 ATSG die Frist für Beschwerden an das kantonale Versicherungsgericht auf 30 Tage festgesetzt; dabei sind die Art. 38 - 41 ATSG sinngemäss anwendbar (Art. 60 Abs. 2 ATSG). Das Verfahren vor dem kantonalen Versicherungsgericht wird durch das kantonale Recht geregelt, wobei Vorgaben des Bundes- rechts einzuhalten sind (Art. 61 ATSG). Dazu steht den Kantonen eine fünfjährige Anpassungsfrist zur Verfügung (Art. 82 Abs. 2 ATSG). In diesem Zusammenhang entstanden Kontroversen über die (Weiter-)Geltung des bisherigen kantonalen Rechts, gerade auch im Zusammenhang mit der Berechnung der Beschwerdefrist (siehe BGE 131 V 305, 314 und 325, inzwischen durch den Entscheid des Eidge-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