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AG_SPEZIALVERWALTUNGSGERICHT RV.2000.50223 vom 1. März 2001</w:t>
      </w:r>
    </w:p>
    <w:p>
      <w:r>
        <w:t>Ag Spezialverwaltungsgericht, 2001-03-01, DE</w:t>
      </w:r>
    </w:p>
    <w:p>
      <w:r>
        <w:rPr>
          <w:b/>
        </w:rPr>
        <w:t xml:space="preserve">Quelle: </w:t>
      </w:r>
      <w:r>
        <w:t>https://mcp.opencaselaw.ch/entscheid/ag_spezialverwaltungsgericht_RV.2000.50223</w:t>
      </w:r>
    </w:p>
    <w:p>
      <w:r>
        <w:t>FR: AG_SPEZIALVERWALTUNGSGERICHT RV.2000.50223 du 1 mars 2001</w:t>
      </w:r>
    </w:p>
    <w:p>
      <w:r>
        <w:t>IT: AG_SPEZIALVERWALTUNGSGERICHT RV.2000.50223 del 1 marzo 2001</w:t>
      </w:r>
    </w:p>
    <w:p>
      <w:pPr>
        <w:pStyle w:val="Heading2"/>
      </w:pPr>
      <w:r>
        <w:t>Regeste</w:t>
      </w:r>
    </w:p>
    <w:p>
      <w:r>
        <w:t>Abzüge vom Roheinkommen; Weiterbildungskosten (§ 24 lit. c Ziff. 5 aStG). - Kosten für die auswärtige Unterkunft sind zum Abzug zuzulassen, wenn sie für die Weiterbildung des Steuerpflichtigen unumgänglich sind.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März 2001 in Sachen W., RV.2000.50223/K 7060 Aus den Erwägungen</w:t>
      </w:r>
    </w:p>
    <w:p>
      <w:r>
        <w:rPr>
          <w:b/>
        </w:rPr>
        <w:t>E. 3</w:t>
      </w:r>
    </w:p>
    <w:p>
      <w:r>
        <w:t>a) Gemäss § 26 Abs. 4 aStG können die Beiträge zum Er- werb von Ansprüchen aus den der beruflichen Vorsorge gleichge- stellten anderen Vorsorgeformen im Sinn und im Umfang von Art. 82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