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4-SV.2025.1 vom 30. April 2025</w:t>
      </w:r>
    </w:p>
    <w:p>
      <w:r>
        <w:t>Ag Spezialverwaltungsgericht, 2025-04-30, DE</w:t>
      </w:r>
    </w:p>
    <w:p>
      <w:r>
        <w:rPr>
          <w:b/>
        </w:rPr>
        <w:t xml:space="preserve">Quelle: </w:t>
      </w:r>
      <w:r>
        <w:t>https://mcp.opencaselaw.ch/entscheid/ag_spezialverwaltungsgericht_4-SV.2025.1</w:t>
      </w:r>
    </w:p>
    <w:p>
      <w:r>
        <w:t>FR: AG_SPEZIALVERWALTUNGSGERICHT 4-SV.2025.1 du 30 avril 2025</w:t>
      </w:r>
    </w:p>
    <w:p>
      <w:r>
        <w:t>IT: AG_SPEZIALVERWALTUNGSGERICHT 4-SV.2025.1 del 30 aprile 2025</w:t>
      </w:r>
    </w:p>
    <w:p>
      <w:pPr>
        <w:pStyle w:val="Heading2"/>
      </w:pPr>
      <w:r>
        <w:t>Erwägungen</w:t>
      </w:r>
    </w:p>
    <w:p>
      <w:r>
        <w:rPr>
          <w:b/>
        </w:rPr>
        <w:t>E. 1.1</w:t>
      </w:r>
    </w:p>
    <w:p>
      <w:r>
        <w:t>A._____ und B._____ sind Eigentümer (je hälftiges Miteigentum) der Lie- genschaft an der Q-Strasse in R._____ (Parzelle bbb mit Gebäude Nr. ccc). Das Gebäude ist bei der Aargauischen Gebäudeversicherung (AGV) gegen Feuer- und Elementarschäden versichert (Police Nr. ddd).</w:t>
      </w:r>
    </w:p>
    <w:p>
      <w:r>
        <w:rPr>
          <w:b/>
        </w:rPr>
        <w:t>E. 1.2</w:t>
      </w:r>
    </w:p>
    <w:p>
      <w:r>
        <w:t>Am 3. März 2025 meldete A._____ der AGV einen Schaden am Hauptsi- cherungskasten der Liegenschaft. Im Hauptsicherungskasten war ein Ka- bel verbrannt, was zu einem Kurzschluss und einer Beschädigung der an- geschlossenen Geräte führte. Mit Schreiben vom 4. März 2025 lehnte die AGV den Ersatz des Schadens ab. Daraufhin teilte A._____ der AGV mit Schreiben vom 31. März 2025 mit, dass er mit der Schadenablehnung nicht einverstanden sei.</w:t>
      </w:r>
    </w:p>
    <w:p>
      <w:r>
        <w:rPr>
          <w:b/>
        </w:rPr>
        <w:t>E. 1.3</w:t>
      </w:r>
    </w:p>
    <w:p>
      <w:r>
        <w:t>Am 3. April 2025 erliess die AGV eine anfechtbare Verfügung und hielt an der Schadenablehnung fest.</w:t>
      </w:r>
    </w:p>
    <w:p>
      <w:r>
        <w:rPr>
          <w:b/>
        </w:rPr>
        <w:t>E. 1.4</w:t>
      </w:r>
    </w:p>
    <w:p>
      <w:r>
        <w:t>Dagegen erhob A._____ mit Schreiben vom 25. April 2025 Einsprache bei der AGV. Gleichzeitig erhob er "Beschwerde" beim Spezialverwaltungsge- richt, Abteilung Kausalabgaben und Enteignungen (kurz: SKE).</w:t>
      </w:r>
    </w:p>
    <w:p>
      <w:r>
        <w:rPr>
          <w:b/>
        </w:rPr>
        <w:t>E. 2.1</w:t>
      </w:r>
    </w:p>
    <w:p>
      <w:r>
        <w:t>Das Gesetz über die Gebäudeversicherung (GebVG; SAR 673.100) vom 19. September 2006 sieht in § 50 Abs. 1 vor, dass nach Erlass einer Ver- fügung durch die AGV zunächst Einsprache bei der AGV zu erheben ist. Erst danach kann Beschwerde beim SKE geführt werden (§ 51 Abs. 1 GebVG).</w:t>
      </w:r>
    </w:p>
    <w:p>
      <w:r>
        <w:rPr>
          <w:b/>
        </w:rPr>
        <w:t>E. 2.2</w:t>
      </w:r>
    </w:p>
    <w:p>
      <w:r>
        <w:t>In der Rechtmittelbelehrung der Verfügung vom 3. April 2025 ist dement- sprechend als Rechtsmittel die Einsprache bei der AGV genannt. Vorlie- gend wurde das Einspracheverfahren bei der AGV noch nicht durchgeführt. Dieser Mangel kann durch das SKE nicht behoben werden, selbst wenn ihm umfassende Kognition zukommt (§ 53 Abs. 2 des Gesetzes über die Verwaltungsrechtspflege [VRPG; SAR 271.200] vom 4. Dezember 2007 in Verbindung mit § 52 VRPG). Die Einsprache gehört zum Instanzenzug und darf nicht übersprungen werden (vgl. auch Häfelin/Müller/Uhlmann, Allge- meines Verwaltungsrecht, 8. Auflage, Zürich/St. Gallen 2020, N 1198). Liegt wie im vorliegenden Fall eine vollständige Auslassung des</w:t>
      </w:r>
    </w:p>
    <w:p>
      <w:r>
        <w:t>- 3 - Einspracheverfahrens vor, so muss dieses zuerst durchgeführt werden, be- vor eine Beschwerde vom SKE behandelt werden kann. Auf die Be- schwerde kann deshalb (noch) nicht eingetreten werden und das Verfahren ist an die AGV zur Durchführung des Einspracheverfahrens zu überweisen. Es kann bei diesem Schritt nicht zum Vornherein von einem prozessualen Leerlauf gesprochen werden, da das Interesse der Beschwerdeführenden, den ganzen Instanzenzug zur Verfügung zu haben und zudem in erster Instanz kein Kostenrisiko eingehen zu müssen (§ 31 Abs. 1 VRPG), zu wahren ist. Zusammenfassend ist daher das Verfahren zur Durchführung des Ein- spracheverfahrens an die AGV zu überweisen.</w:t>
      </w:r>
    </w:p>
    <w:p>
      <w:r>
        <w:rPr>
          <w:b/>
        </w:rPr>
        <w:t>E. 3</w:t>
      </w:r>
    </w:p>
    <w:p>
      <w:r>
        <w:t>Da dem SKE infolge der Überweisung an die AGV unmittelbar nach Eröff- nung des Verfahrens kaum Aufwand und Kosten entstanden sind, wird die Gerichtsgebühr ausnahmsweise ganz erlassen (§ 5 Abs. 3 Gebührendek- ret [GebührD; SAR 662.110] vom 19. September 2023).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