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4-BE.2025.1 vom 25. März 2026</w:t>
      </w:r>
    </w:p>
    <w:p>
      <w:r>
        <w:t>Ag Spezialverwaltungsgericht, 2026-03-25, DE</w:t>
      </w:r>
    </w:p>
    <w:p>
      <w:r>
        <w:rPr>
          <w:b/>
        </w:rPr>
        <w:t xml:space="preserve">Quelle: </w:t>
      </w:r>
      <w:r>
        <w:t>https://mcp.opencaselaw.ch/entscheid/ag_spezialverwaltungsgericht_4-BE.2025.1</w:t>
      </w:r>
    </w:p>
    <w:p>
      <w:r>
        <w:t>FR: AG_SPEZIALVERWALTUNGSGERICHT 4-BE.2025.1 du 25 mars 2026</w:t>
      </w:r>
    </w:p>
    <w:p>
      <w:r>
        <w:t>IT: AG_SPEZIALVERWALTUNGSGERICHT 4-BE.2025.1 del 25 marzo 2026</w:t>
      </w:r>
    </w:p>
    <w:p>
      <w:pPr>
        <w:pStyle w:val="Heading2"/>
      </w:pPr>
      <w:r>
        <w:t>Erwägungen</w:t>
      </w:r>
    </w:p>
    <w:p>
      <w:r>
        <w:rPr>
          <w:b/>
        </w:rPr>
        <w:t>E. 6</w:t>
      </w:r>
    </w:p>
    <w:p>
      <w:r>
        <w:t>Zu prüfen bleibt, in welchem Zeitpunkt die Erweiterung der anrechenbaren Geschossfläche stattgefunden hat bzw. ob die Forderung verjährt ist.</w:t>
      </w:r>
    </w:p>
    <w:p>
      <w:r>
        <w:rPr>
          <w:b/>
        </w:rPr>
        <w:t>E. 6.1.1</w:t>
      </w:r>
    </w:p>
    <w:p>
      <w:r>
        <w:t>Die Beschwerdeführerin bringt in ihrer Replik vor, sollte wider Erwarten eine Vergrösserung der Geschossfläche bejaht werden, so sei zu beachten, dass diese bereits in den Jahren 2013/2014 errichtet worden und daher im Zeitpunkt der Gebührenerhebung bereits verjährt gewesen sei. Gebühren seien innert 10 Jahren zu erheben, wobei nicht auf das Datum der Baube- willigung, sondern der tatsächlichen Veränderung der Geschossfläche ab- zustellen sei (Replik, Rz. 7). In Randziffer 6 der Replik bringt die Beschwer- deführerin sodann vor, seit der Errichtung des Wohnhauses habe die Än- derung im Untergeschoss keine Änderung erfahren und verweist dazu auf den Protokollauszug des Gemeinderats Q._____ vom 14. Oktober 2024 (Beilage 3 zur Replik).</w:t>
      </w:r>
    </w:p>
    <w:p>
      <w:r>
        <w:rPr>
          <w:b/>
        </w:rPr>
        <w:t>E. 6.1.2</w:t>
      </w:r>
    </w:p>
    <w:p>
      <w:r>
        <w:t>Die Beschwerdegegnerin bringt vor, bezüglich der Verjährung gelte das VRPG. Die Verjährungsfrist starte zum Zeitpunkt der Berechnung und Gel- tendmachung der Forderung. Damit der Gemeinderat eine fundierte Be- rechnung der Anschlussgebühren habe vornehmen können, seien diverse Planunterlagen und Informationen nötig gewesen. Die Berechnung der For- derung habe daher erst nach Eingabe des nachträglichen Baugesuchs vor- genommen werden können. Dieses sei erst am 3. Juli 2023 eingereicht worden, weshalb frühstens in diesem Zeitpunkt die Verjährungsfrist zu lau- fen begonnen habe (Duplik, S. 2).</w:t>
      </w:r>
    </w:p>
    <w:p>
      <w:r>
        <w:rPr>
          <w:b/>
        </w:rPr>
        <w:t>E. 6.2.1</w:t>
      </w:r>
    </w:p>
    <w:p>
      <w:r>
        <w:t>Die Verjährung ist im öffentlichen Recht als allgemeiner Rechtsgrundsatz anerkannt. Sie ist nach § 5 Abs. 1 VRPG von Amtes wegen zu beachten, wenn die öffentliche Hand Gläubigerin ist.</w:t>
      </w:r>
    </w:p>
    <w:p>
      <w:r>
        <w:rPr>
          <w:b/>
        </w:rPr>
        <w:t>E. 6.2.2</w:t>
      </w:r>
    </w:p>
    <w:p>
      <w:r>
        <w:t>§ 5 Abs. 2 VRPG bestimmt, dass öffentlich-rechtliche Geldforderungen, für deren Geltendmachung das Gesetz nicht bestimmte Fristen festlegt, innert</w:t>
      </w:r>
    </w:p>
    <w:p>
      <w:r>
        <w:rPr>
          <w:b/>
        </w:rPr>
        <w:t>E. 6.2.3</w:t>
      </w:r>
    </w:p>
    <w:p>
      <w:r>
        <w:t>§§ 51 Abs. 1 WR sowie 31 Abs. 1 AR verweisen auf das VPRG.</w:t>
      </w:r>
    </w:p>
    <w:p>
      <w:r>
        <w:rPr>
          <w:b/>
        </w:rPr>
        <w:t>E. 6.3.1</w:t>
      </w:r>
    </w:p>
    <w:p>
      <w:r>
        <w:t>Aus dem Protokollauszug des Gemeinderats Q._____ vom 14. Okto- ber 2024 (Beilage 3 zur Replik) geht hervor, dass die Gemeinde Q._____ mit Protokollauszug vom 19. August 2024 ein Verfahren wegen Bauens ohne Baubewilligung (§§ 159 ff. BauG) eröffnete (S. 1, Ziff. 7). Im Rahmen der Verhandlung bestätigte die Beschwerdegegnerin sodann glaubhaft, dass sie erst im Jahr 2023 vom Einbau der Einliegerwohnung erfahren habe (Protokoll, S. 7).</w:t>
      </w:r>
    </w:p>
    <w:p>
      <w:r>
        <w:rPr>
          <w:b/>
        </w:rPr>
        <w:t>E. 6.3.2</w:t>
      </w:r>
    </w:p>
    <w:p>
      <w:r>
        <w:t>Gemäss § 5 Abs. 2 VRPG beginnt die Verjährungsfrist erst zu laufen, so- bald die Forderungen berechnet und geltend gemacht werden können. Die Beschwerdegegnerin wurde erst im April 2023 auf den Einbau der Woh- nung aufmerksam. Gleichentags wurde die Beschwerdeführerin zur Einrei- chung eines nachträglichen Baugesuchs aufgefordert (Protokollauszug vom 14. Oktober 2024, S. 1, Ziff. 1 und 2). Erst mit der Einreichung des entsprechenden Baugesuchs bzw. der entsprechenden Pläne war die Be- schwerdegegnerin in der Lage, die Forderung zu berechnen und geltend zu machen. Die Verjährungsfrist hat folglich frühstens am 25. April 2023 zu laufen begonnen, als die Beschwerdeführerin das einverlangte Baugesuch erstmals (unvollständig) einreichte (Protokollauszug vom 14. Okto- ber 2024, S. 1, Ziff. 3).</w:t>
      </w:r>
    </w:p>
    <w:p>
      <w:r>
        <w:rPr>
          <w:b/>
        </w:rPr>
        <w:t>E. 6.3.3</w:t>
      </w:r>
    </w:p>
    <w:p>
      <w:r>
        <w:t>Die Verjährungsfrist hat frühstens im April 2023 zu laufen begonnen; weder die relative noch die absolute Verjährungsfrist sind folglich abgelaufen. 7. Zusammenfassend ist festzuhalten, dass durch den Einbau der Einlieger- wohnung anrechenbare Geschossfläche entstanden ist und dass dafür die gemäss dem AR und dem WR berechnete Gebühr geschuldet ist (Erw. 4.). Das Äquivalenzprinzip ist nicht verletzt (Erw. 4.) und die Rüge der Verlet- zung des Kostendeckungsprinzip genügt der Substantiierungspflicht ge- mäss § 43 Abs. 2 VRPG nicht (Erw. 5.). Die Geldforderung ist sodann nicht verjährt (Erw. 6.).</w:t>
      </w:r>
    </w:p>
    <w:p>
      <w:r>
        <w:t>- 22 - 8. 8.1. Abschliessend sind die Kosten zu verlegen. 8.2. 8.2.1. Die Verfahrenskosten werden den Parteien in der Regel nach Ausgang des Verfahrens auferlegt (§ 31 Abs. 2 VRPG). Die Beschwerdeführerin unter- liegt, weshalb sie die Verfahrenskosten zu tragen hat. 8.2.2. Am 1. Juli 2024 sind das Allgemeine Gebührengesetz (GebührG; SAR 662.100) vom 19. September 2023 und das Gebührendekret (Ge- bührD; SAR 662.110) vom 19. September 2023 in Kraft getreten. Gemäss § 20 Abs. 1 lit. a GebührD beträgt die Gebühr in der gerichtlichen Verwal- tungsrechtspflege für das Verfahren vor dem Spezialverwaltungsgericht Fr. 200.00 bis Fr. 15'000.00. Innerhalb dieses Rahmens ist die Gebühr in vermögensrechtlichen Streitsachen vor dem Spezialverwaltungsgericht nach den halben Grundansätzen gemäss § 7 Abs. 1 GebührD festzulegen. 8.2.3. Im vorliegenden Fall hat die Beschwerdegegnerin Gebühren von insgesamt Fr. 812.30 verfügt (Wasseranschlussgebühr: Fr. 459.90 inkl. MWST; Ab- wasseranschlussgebühr Fr. 352.40 inkl. MWST, A.5.). Die Beschwerdefüh- rerin verlangt einen Erlass der Gebühren. Der Streitwert liegt folglich bei rund Fr. 812.00. Für Streitwerte bis Fr. 5'500.00 beträgt der Grundansatz gemäss § 7 Abs. 1 GebührD Fr. 900.00 plus 11.0 % des Streitwertes. Beim vorliegenden Streitwert ergibt sich daraus ein Grundansatz von rund Fr. 990.00. Die Gebühr (hal- ber Grundansatz) beträgt folglich gerundet Fr. 500.00. 8.2.4. Der Kostenvorschuss von Fr. 200.00 wird angerechnet. 8.3. Die Parteikosten werden in der Regel nach demselben Schlüssel verteilt (§ 32 Abs. 2 VRPG in Verbindung mit § 29 VRPG). Mangels anwaltlicher Vertretung steht der Beschwerdegegnerin keine Parteientschädigung zu (vgl. § 29 Abs. 1 VRPG).</w:t>
      </w:r>
    </w:p>
    <w:p>
      <w:r>
        <w:t>- 23 - Das Gericht erkennt:</w:t>
      </w:r>
    </w:p>
    <w:p>
      <w:r>
        <w:rPr>
          <w:b/>
        </w:rPr>
        <w:t>E. 10</w:t>
      </w:r>
    </w:p>
    <w:p>
      <w:r>
        <w:t>Jahren verjähren, periodisch zu erbringende Leistungen innert 5 Jah- ren. Die Verjährungsfrist beginnt zu laufen, sobald die Forderungen berech- net und geltend gemacht werden können. Wird die Verjährung unterbro- chen, beginnt die Frist neu zu laufen (Botschaft des Regierungsrats zum VRPG vom 14. Februar 2007 [07.27], S. 15).</w:t>
      </w:r>
    </w:p>
    <w:p>
      <w:r>
        <w:t>- 21 - Erst mit Ablauf von 20 Jahren beziehungsweise bei periodisch zu erbrin- genden Leistungen von 15 Jahren tritt in jedem Fall die absolute Verjäh- rung ein (§ 5 Abs. 5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