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4-BE.2021.19 vom 2. November 2022</w:t>
      </w:r>
    </w:p>
    <w:p>
      <w:r>
        <w:t>Ag Spezialverwaltungsgericht, 2022-11-02, DE</w:t>
      </w:r>
    </w:p>
    <w:p>
      <w:r>
        <w:rPr>
          <w:b/>
        </w:rPr>
        <w:t xml:space="preserve">Quelle: </w:t>
      </w:r>
      <w:r>
        <w:t>https://mcp.opencaselaw.ch/entscheid/ag_spezialverwaltungsgericht_4-BE.2021.19</w:t>
      </w:r>
    </w:p>
    <w:p>
      <w:r>
        <w:t>FR: AG_SPEZIALVERWALTUNGSGERICHT 4-BE.2021.19 du 2 novembre 2022</w:t>
      </w:r>
    </w:p>
    <w:p>
      <w:r>
        <w:t>IT: AG_SPEZIALVERWALTUNGSGERICHT 4-BE.2021.19 del 2 novembre 2022</w:t>
      </w:r>
    </w:p>
    <w:p>
      <w:pPr>
        <w:pStyle w:val="Heading2"/>
      </w:pPr>
      <w:r>
        <w:t>Erwägungen</w:t>
      </w:r>
    </w:p>
    <w:p>
      <w:r>
        <w:rPr>
          <w:b/>
        </w:rPr>
        <w:t>E. 6</w:t>
      </w:r>
    </w:p>
    <w:p>
      <w:r>
        <w:t>Abgesehen von der fehlenden gesetzlichen Grundlage für die Erhebung einer Stromanschlussgebühr für den Anschluss einer Wärmepumpenan- lage verbietet § 34 Abs. 2 Satz 3 des kantonalen BauG die investitionsab- hängige Gebührenerhebung für Sanierungsmassnahmen, "welche die Energieeffizienz oder die Nutzung erneuerbarer Energien verbessern". Der Gesetzgeber hatte dabei zwar grundsätzlich Gemeinden im Blick, welche die Anschlussgebühren nach dem Gebäudeversicherungswert bemessen. Bei Gemeinden, die etwa Wasser- oder Abwasseranschlussgebühren auf- grund von erweiterten Flächen bemessen, ist kein Gebührenverzicht vor- gesehen (Andreas Baumann/Ralph van den Bergh/Martin Gosswei- ler/Christian Häuptli/Erika Häuptli-Schwaller/ Verena Sommerhalder Fo- restier, Kommentar zum Baugesetz des Kantons Aargau, Bern 2013 [nach- folgend Baugesetzkommentar], § 34 N 61; Botschaft vom 5. Dezember 2007 des Regierungsrats betreffend Teilrevision des BauG 1993 für die erste Beratung, S. 67). Vorliegend handelt es sich jedoch um eine leis- tungsabhängige Gebührenerhebung, die mit der Gebührenbemessung nach dem Gebäudeversicherungswert vergleichbar ist. Eine Gebührener- hebung wäre daher auch nach einer Anpassung der massgebenden Best- immungen der Tarif- und Gebührenordnung nicht zulässig, da sie mit dem übergeordneten kantonalen Recht nicht vereinbar wäre.</w:t>
      </w:r>
    </w:p>
    <w:p>
      <w:r>
        <w:rPr>
          <w:b/>
        </w:rPr>
        <w:t>E. 7</w:t>
      </w:r>
    </w:p>
    <w:p>
      <w:r>
        <w:t>Zusammenfassend ist festzuhalten, dass für den Ersatz der bestehenden Ölheizung durch eine Luft/Wasser-Wärmepumpe keine Anschlussgebühr erhoben werden darf. Die Beschwerde ist gutzuheissen.</w:t>
      </w:r>
    </w:p>
    <w:p>
      <w:r>
        <w:rPr>
          <w:b/>
        </w:rPr>
        <w:t>E. 8.1</w:t>
      </w:r>
    </w:p>
    <w:p>
      <w:r>
        <w:t>Abschliessend sind die Verfahrenskosten zu verlegen. Sie werden den Par- teien in der Regel nach Ausgang des Verfahrens auferlegt (§ 31 Abs. 2 VRPG). Die Verfahrenskosten sind entsprechend von der unterliegenden Beschwerdegegnerin zu bezahlen.</w:t>
      </w:r>
    </w:p>
    <w:p>
      <w:r>
        <w:rPr>
          <w:b/>
        </w:rPr>
        <w:t>E. 8.2</w:t>
      </w:r>
    </w:p>
    <w:p>
      <w:r>
        <w:t>Die Parteikosten werden in der Regel nach demselben Schlüssel verteilt (§ 32 Abs. 2 VRPG i.V.m. § 29 VRPG). Mangels anwaltlicher Vertretung der Parteien sind keine Parteikosten zu ersetzen.</w:t>
      </w:r>
    </w:p>
    <w:p>
      <w:r>
        <w:t>- 12 -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