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4-BE.2021.15 vom 23. November 2022</w:t>
      </w:r>
    </w:p>
    <w:p>
      <w:r>
        <w:t>Ag Spezialverwaltungsgericht, 2022-11-23, DE</w:t>
      </w:r>
    </w:p>
    <w:p>
      <w:r>
        <w:rPr>
          <w:b/>
        </w:rPr>
        <w:t xml:space="preserve">Quelle: </w:t>
      </w:r>
      <w:r>
        <w:t>https://mcp.opencaselaw.ch/entscheid/ag_spezialverwaltungsgericht_4-BE.2021.15</w:t>
      </w:r>
    </w:p>
    <w:p>
      <w:r>
        <w:t>FR: AG_SPEZIALVERWALTUNGSGERICHT 4-BE.2021.15 du 23 novembre 2022</w:t>
      </w:r>
    </w:p>
    <w:p>
      <w:r>
        <w:t>IT: AG_SPEZIALVERWALTUNGSGERICHT 4-BE.2021.15 del 23 novembre 2022</w:t>
      </w:r>
    </w:p>
    <w:p>
      <w:pPr>
        <w:pStyle w:val="Heading2"/>
      </w:pPr>
      <w:r>
        <w:t>Erwägungen</w:t>
      </w:r>
    </w:p>
    <w:p>
      <w:r>
        <w:rPr>
          <w:b/>
        </w:rPr>
        <w:t>E. 2</w:t>
      </w:r>
    </w:p>
    <w:p>
      <w:r>
        <w:t>Dezember 2021 zu replizieren. F.2. Die Beschwerdeführenden replizierten innert erstreckter Frist mit Eingabe vom 21. Dezember 2021 und hielten an ihren Ausführungen fest. G.1. Mit Schreiben vom 3. Januar 2022 brachte das SKE die Replik der Be- schwerdegegnerin zur Kenntnis und setzte ihr eine Frist bis 26. Januar 2022 für eine abschliessende Duplik. G.2. Die Beschwerdegegnerin liess am 24. Januar 2022 duplizieren und an ih- ren Anträgen festhalten. H. Am 25. Januar 2022 wurde die Duplik den Beschwerdeführenden zur Kenntnis gebracht. Damit war der Schriftenwechsel abgeschlossen.</w:t>
      </w:r>
    </w:p>
    <w:p>
      <w:r>
        <w:t>- 4 - I.1. Die ursprünglich für den 19. Oktober 2022 geplante Verhandlung wurde aufgrund einer Terminkollision auf Ersuchen des Beschwerdeführers auf den 23. November 2022 verschoben (Schreiben des Präsidenten des SKE vom 9. September 2022). I.2 Am 23. November 2022 verhandelte das SKE alle Beschwerden gegen den Beitragsplan XY (insgesamt drei Parallelverfahren). Zu Beginn des Ver- handlungstags wurde ein gemeinsamer Augenschein durchgeführt (Prä- senz der Verhandlung zum vorliegenden Verfahren siehe Protokoll S. 2). Nach der gerichtsinternen Beratung aller Verfahren wurde das nachfol- gende Urteil gefällt.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angefochtenen Entscheid vom 21. Juni 2021 handelt es sich um ei- nen Einspracheentscheid in Abgabesachen im Sinne von § 35 Abs. 2 BauG. Das Spezialverwaltungsgericht ist damit für die Behandlung der Be- schwerde zuständig. 1.3. 1.3.1. Beide Beschwerdeführenden sind als Gesamteigentümer der Parzelle aaa beitragsbelastet und haben demzufolge ein eigenes, schutzwürdiges und aktuelles Interesse an der Aufhebung des Einspracheentscheids (§ 42 lit. a VRPG). Die Beschwerdegegnerin lässt geltend machen, der Beschwerdeführer sei zum Zeitpunkt der Einreichung der Beschwerde für die Erbengemeinschaft</w:t>
      </w:r>
    </w:p>
    <w:p>
      <w:r>
        <w:t>- 5 - nicht von der Beschwerdeführerin zur Einreichung der Beschwerde bevoll- mächtigt gewesen. Die Vollmacht datiere vom 30. August 2021 und damit nach Erhebung der Beschwerde. 1.3.2. Die Beschwerdeführenden bringen dazu vor, C. sei bis zum heutigen Zeit- punkt nie von der Beschwerdegegnerin über das Bauvorhaben und den Beitragsplan schriftlich informiert worden. Die Korrespondenz sei teilweise an den 2018 verstorbenen Vater der Beschwerdeführenden gesendet wor- den. Auch das Schreiben betreffend die öffentliche Auflage des Beitrags- plans vom 21. Juli 2020 sei lediglich dem Beschwerdeführer eingeschrie- ben zugestellt worden. Die Beschwerdeführerin habe dieses Schreiben nicht erhalten. Sie habe daher nie die Möglichkeit gehabt, Einsprache zu erheben. Dazu lässt die Beschwerdegegnerin wiederum vorbringen, im Grundbuch sei die Adresse des Beschwerdeführers als Zustelladresse für die Erben- gemeinschaft bezeichnet. Die Zustellungen seien daher korrekterweise an ihn erfolgt. 1.3.3. Vertretungsverhältnisse sind auf Verlangen der Behörde mit schriftlicher Vollmacht zu belegen (§ 14 Abs. 2 VRPG). Das Vertretungsverhältnis des Beschwerdeführers für die Beschwerdeführerin war zunächst nicht nach- gewiesen. Deshalb ersuchte das Gericht den Vertreter der Erbengemein- schaft, die Vollmacht für die Vertretung der Beschwerdeführerin nachzu- reichen (Schreiben vom 25. August 2021). Dieser reichte daraufhin am</w:t>
      </w:r>
    </w:p>
    <w:p>
      <w:r>
        <w:rPr>
          <w:b/>
        </w:rPr>
        <w:t>E. 2.1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w:t>
      </w:r>
    </w:p>
    <w:p>
      <w:r>
        <w:rPr>
          <w:b/>
        </w:rPr>
        <w:t>E. 2.2</w:t>
      </w:r>
    </w:p>
    <w:p>
      <w:r>
        <w:t>Die Gemeinden können von den Grundeigentümern Beiträge an die Kosten der Erstellung, Änderung oder Erneuerung von Abwasserbeseitigungsan- lagen erheben. Soweit die Kosten dadurch nicht gedeckt werden, sowie für den Betrieb, sind sie verpflichtet, Gebühren zu erheben (§ 34 Abs. 2 BauG). Die Erhebung von Beiträgen ist von den Gemeinden zu regeln, soweit keine kantonalen Vorschriften bestehen (§ 34 Abs. 3 BauG; § 23 EG UWR).</w:t>
      </w:r>
    </w:p>
    <w:p>
      <w:r>
        <w:rPr>
          <w:b/>
        </w:rPr>
        <w:t>E. 2.3</w:t>
      </w:r>
    </w:p>
    <w:p>
      <w:r>
        <w:t>Die Erhebung von Abgaben im Zusammenhang mit Erschliessungsanlagen wird im Abwasserreglement (kurz: AR) der Einwohnergemeinde Q., be- schlossen von der Gemeindeversammlung am 16. Mai 2003, geregelt. Gemäss § 30 Abs. 1 lit. a AR erhebt der Gemeinderat von den Grundeigen- tümern an die Kosten für die Erstellung, Änderung, Erneuerung und Betrieb der öffentlichen Anlagen unter anderem Erschliessungsbeiträge. Dabei gilt der Bau einer neuen Baute oder Anlage als Erstellung (§ 39 Abs. 1 AR). Als Änderung gilt die Verbesserung oder Erweiterung einer bestehenden Baute oder Anlage (§ 39 Abs. 2 AR). Als Erneuerung gilt ein vollständiger Ersatz einer Baute oder von wesentlichen Teilen zu deren Wiederherstel- lung (Sanierung). Unterhaltsarbeiten geltend dagegen nicht als Erneuerung (§ 39 Abs. 3 AR). Die Grundeigentümer leisten nach Massgabe der ihnen erwachsenden wirtschaftlichen Sondervorteile Beiträge an die Kosten der Erstellung und Änderung von Anlagen der Abwasserbeseitigung. Die Kosten der Feiner- schliessung tragen die Grundeigentümer in der Regel vollumfänglich, jene der Groberschliessung höchstens zu 70 %. Die Anschlussgebühr wird um 30 % ermässigt (§ 45 AR). Zu den Abgaben hinzu kommt die von der Gemeinde für ihre Leistungen zu erbringende eidgenössische Mehrwertsteuer. Sie wird separat ausge- wiesen und ist mit der Abgaben- bzw. Gebührenverfügung zur Zahlung fäl- lig (§ 31 Abs. 1 AR).</w:t>
      </w:r>
    </w:p>
    <w:p>
      <w:r>
        <w:t>- 7 - Zur Bezahlung der Abgaben sind diejenigen Personen verpflichtet, denen im Zeitpunkt des Eintritts der Zahlungspflicht laut Grundbuch das Eigentum zusteht (§ 33 AR). Die Beitragspflicht entsteht mit Beginn der öffentlichen Auflage des Beitragsplans (§ 43 AR). Vorliegend ist noch immer A. als Alleineigentümer im Grundbuch eingetra- gen. Dieser ist aber bereits am 8. Oktober 2018 verstorben (Erbbescheini- gung vom 18. Dezember 2018). Rechtsnachfolger eines Grundeigentü- mers sind per Universalsukzession (und unabhängig vom Vollzug im Grundbuch) seine Erben (vgl. Art. 560 Abs. 1 des Schweizerischen Zivilge- setzbuches [ZGB; SR 210] vom 10. Dezember 1907). Die Beschwerdefüh- renden treten als seine einzigen gesetzlichen Erben (Verzeichnis der ge- setzlichen Erben vom 30. Oktober 2018) ohne Weiteres als Gesamteigen- tümer in seine Position ein. Erschliessungsbeiträge werden frühestens mit Baubeginn der Anlage fällig, für welche sie erhoben werden (§ 44 Abs. 1 AR). Im Übrigen wird die Fäl- ligkeit durch den Beitragsplan bestimmt. Es können entsprechend dem Fortgang der Arbeiten Teilzahlungen vorgesehen werden (§ 44 Abs. 2 AR). Die Beiträge sind auch dann fällig, wenn gegen den Beitragsplan Einspra- che bzw. Beschwerde geführt wird (§ 44 Abs. 3 AR).</w:t>
      </w:r>
    </w:p>
    <w:p>
      <w:r>
        <w:rPr>
          <w:b/>
        </w:rPr>
        <w:t>E. 2.4</w:t>
      </w:r>
    </w:p>
    <w:p>
      <w:r>
        <w:t>Das AR ist eine taugliche gesetzliche Grundlage für die Erhebung von Bei- trägen an den Bau von Anlagen der Abwasserbeseitigung. Das ist unbe- stritten (Protokoll S. 4).</w:t>
      </w:r>
    </w:p>
    <w:p>
      <w:r>
        <w:rPr>
          <w:b/>
        </w:rPr>
        <w:t>E. 3</w:t>
      </w:r>
    </w:p>
    <w:p>
      <w:r>
        <w:t>September 2021 die entsprechende Vollmacht ein. Somit wurde der Mangel noch innerhalb der laufenden Beschwerdefrist behoben. Die frühe- ren Verfahrensschritte werden damit nachträglich genehmigt. 1.4. Der Einspracheentscheid wurde den Beschwerdeführenden am 3. Juli 2021 zugestellt. Nach § 28 Abs. 1 und 2 VRPG gelten für die Berechnung der Fristen, deren Unterbruch und die Wiederherstellung gegen die Folgen der Säumnis sowie bezüglich der Rechtsstillstandsfristen die Bestimmun- gen der Schweizerischen Zivilprozessordnung (ZPO; SR 272) vom 19. De- zember 2008. Unter Berücksichtigung des Fristenstillstands vom 15. Juli bis und mit dem 15. August (Art. 145 Abs. 1 lit. b ZPO) ist die mit Post- stempel vom 23. August 2021 versehene Beschwerde ohne Weiteres frist- gerecht eingereicht worden. Auf die im Übrigen formgerecht eingereichte Beschwerde ist einzutreten.</w:t>
      </w:r>
    </w:p>
    <w:p>
      <w:r>
        <w:t>- 6 - 2.</w:t>
      </w:r>
    </w:p>
    <w:p>
      <w:r>
        <w:rPr>
          <w:b/>
        </w:rPr>
        <w:t>E. 3.1</w:t>
      </w:r>
    </w:p>
    <w:p>
      <w:r>
        <w:t>Die Beschwerdeführenden machen zunächst geltend, der Beitrag von Fr. 12'306.10 für den Anschluss an die neue Schmutzwasserleitung sei vollumfänglich aufzuheben. Es treffe nicht zu, dass der Anschluss einen wirtschaftlichen Vorteil oder eine Steigerung des Grundstückswerts be- wirke. Vielmehr sei das Gegenteil der Fall. Die Parzelle sei bereits vollstän- dig erschlossen und verfüge über einen Anschluss an die Kanalisation "XZ". Es bestehe daher kein Grund für einen zusätzlichen Anschluss an die neue Schmutzwasserleitung "XY". Weiter betrage der Höhenunterschied vom Kanalisationsschacht K Sohlen- höhe 547.65 bis zum Kanalisationsschacht Parzelle aaa Sohlenhöhe 545.499 2.151 m. Eine Schmutzwasserleitung müsse mit einem Gefälle eingebaut werden, was aber in der Praxis unmöglich sei. Dies mache ein Pumpen zwingend erforderlich. Der Kanalisationsschacht K Sohlenhöhe 547.65 befinde sich 28 m vom Haus entfernt, sodass beim Einbau einer Leitung von 28 m mit einem Gefälle von üblichen 2 % die Leitung über die Einfahrt zwischen Erdgeschoss und Estrich ins Haus gelangen müsse. Es</w:t>
      </w:r>
    </w:p>
    <w:p>
      <w:r>
        <w:t>- 8 - sei nicht sinnvoll, Wasser zu pumpen, sofern eine andere Möglichkeit be- stehe. Mit dem Bauland der Parzelle bbb bestehe bei einer Neubebauung der Parzelle bbb die Möglichkeit der Erschliessung der Parzellen ccc und bbb über die X-Strasse. Die Parzellen ddd, eee und fff seien ebenfalls über die Grenzen der Parzellen ggg und hhh über die X-Strasse erschlossen worden.</w:t>
      </w:r>
    </w:p>
    <w:p>
      <w:r>
        <w:rPr>
          <w:b/>
        </w:rPr>
        <w:t>E. 3.2</w:t>
      </w:r>
    </w:p>
    <w:p>
      <w:r>
        <w:t>Die Beschwerdegegnerin lässt dazu ausführen, die bestehende Kanalisa- tion in der Strasse XY, insbesondere im Bereich der Parzelle aaa, genüge den abwassertechnischen Anforderungen nicht und müsse gemäss GEP erneuert, bzw. im Bereich der Parzelle aaa auch vergrössert werden. Da eine Schmutzwasserleitung höhere Anforderungen bezüglich Dichtheit auf- weisen müsse, sei die Erstellung eines Neubaus für die Schmutzwasserlei- tung sowie die Umnutzung der bestehenden Leitung zu einer Meteorwas- serleitung sinnvoll. Das Grundstück der Beschwerdeführenden werde heute von einer privaten Schmutzwasserleitung mit einer Länge von 50 m ostseitig der Liegenschaft in Richtung Süden entwässert. Die Leitung ver- füge über einen Durchmesser von 150 mm und führe sämtliches Abwasser im Eigengefälle in Richtung ARA ab. Gemäss GEP liege die Parzelle der Beschwerdeführenden in einem Perimeter, der im Teil-Trennsystem zu ent- wässern sei. Vorliegend sei noch keine der im Perimeter liegenden Parzel- len bzw. Parzellenflächen, namentlich auch nicht die Liegenschaft der Be- schwerdeführenden, im Teil-Trennsystem an das kommunale Kanalisati- onsnetz angeschlossen. Mit dem Projekt werde erstmals die im GEP vor- gesehene öffentliche Schmutz- und Meteorwasserleitung mit dem vorge- schriebenen Durchmesser von 300 mm für Sauberwasser und 250 mm für Schmutzwasser installiert. Der Sondervorteil der Beschwerdeführenden bestehe in der erstmals rechtskonform erstellten Abwassererschliessung. Zum Höhenunterschied lässt die Beschwerdegegnerin vorbringen, der Ka- nalisationsschacht K sei mit einer Sohlenhöhe von 547.65 m.ü.M. geplant. Rund die Hälfte des Parzellenteils der Beschwerdeführenden liege auf ei- ner Höhe von 548 m.ü.M und damit oberhalb des Schachtes. Ab diesem Bereich sei das Pumpen von Abwasser nicht zwingend erforderlich, da das Wasser im Gefälle abfliessen könne. Nur dieser Bereich sei mit einem Bei- trag belastet worden. Der südliche Teil der Parzelle sei dagegen nicht in den Beitragsplan XY einbezogen worden. Es komme weiter nicht auf die heutige Bebauung und Erschliessung der Parzelle an, sondern auf die ob- jektive Möglichkeit eines Anschlusses an eine Leitung. Weiter sei der An- schluss an die öffentliche Kanalisationsleitung in Richtung der Y-Strasse nicht auf eine Dienstbarkeit angewiesen, sondern könne auf dem Grund- stück der Beschwerdeführenden erfolgen. Dagegen seien die Beschwer- deführenden für die gesetzeskonforme Umsetzung der Entwässerung in Richtung Süden auf ein Durchleitungsrecht in Form einer Dienstbarkeit</w:t>
      </w:r>
    </w:p>
    <w:p>
      <w:r>
        <w:t>- 9 - durch Parzelle ggg angewiesen. Der Anschluss an die Kanalisation in der Y-Strasse erscheine daher als zweckmässig. Dazu bringen die Beschwerdeführenden vor, Parzelle aaa habe sich ur- sprünglich im Besitz von A. befunden. Am 14. August 1997 sei eine Grund- stückparzellierung mit Begründung von Dienstbarkeiten vorgenommen worden. Dabei seien er und G. als Gesamteigentümer der neuen Parzelle ggg im Grundbuch eingetragen worden. Der Parzellierungsvertrag sehe vor, dass die die Grundeigentümer keine separaten Durchleitungsrechte begründen. Diese seien bereits gewährt worden. Er sei zum aktuellen Zeit- punkt Miteigentümer beider Parzellen.</w:t>
      </w:r>
    </w:p>
    <w:p>
      <w:r>
        <w:rPr>
          <w:b/>
        </w:rPr>
        <w:t>E. 4</w:t>
      </w:r>
    </w:p>
    <w:p>
      <w:r>
        <w:t>September 2007 ist der Generelle Entwässerungsplan (GEP) Grundlage für die Umsetzung der Abwasserentsorgung und -reinigung. Erst mit dem Ausbau entspricht das Kanalisationssystem im Gebiet XY den Vorgaben des aktuellen GEP und ist damit abwassertechnisch gesetzes- konform erschlossen.</w:t>
      </w:r>
    </w:p>
    <w:p>
      <w:r>
        <w:t>- 10 -</w:t>
      </w:r>
    </w:p>
    <w:p>
      <w:r>
        <w:rPr>
          <w:b/>
        </w:rPr>
        <w:t>E. 4.1</w:t>
      </w:r>
    </w:p>
    <w:p>
      <w:r>
        <w:t>Der aktuelle GEP der Gemeinde Q. sieht für das Gebiet XY die Erneuerung der bestehenden Kanalisationsleitungen und die Umsetzung des Teil- Trennsystems vor. Zur Umsetzung des Teil-Trennsystems war im GEP der Neubau einer Sauberwasserleitung vorgesehen. Im Rahmen der durchge- führten Kanal-TV-Aufnahmen wurde jedoch festgestellt, dass die beste- hende Schmutzwasserleitung einen ungesetzlichen Zustand aufweist. Es ergab sich die Möglichkeit der Umnutzung der bestehenden Schmutzwas- serleitung in eine Sauberwasserleitung. Daher wurde beschlossen, anstelle des Neubaus der Meteorwasserleitung die bestehende Schmutzwasserlei- tung umzunutzen und eine neue Schmutzwasserleitung ab der Bauzonen- grenze bis zur Strasse "D" zu erstellen. Die bestehenden Hausanschlüsse sollen an die neue Schmutzwasserleitung angeschlossen werden (Techni- scher Bericht vom 17. Februar 2020, S. 3). Die Schmutzwasserleitung wird zwischen der Kreuzung "XY" und "D" neu gebaut. Ausserdem wird die bestehende Sammalleitung der Parzellen iii und jjj neu erstellt. Die neue Schmutzwasserleitung soll mit einem Kaliber NW 300 erstellt werden (Technischer Bericht, S. 4). Die Sammelleitung im Bereich der Parzelle aaa soll mit einer Nennweite von 250 mm erstellt wer- den (Technischer Bericht, S. 4).</w:t>
      </w:r>
    </w:p>
    <w:p>
      <w:r>
        <w:rPr>
          <w:b/>
        </w:rPr>
        <w:t>E. 4.2</w:t>
      </w:r>
    </w:p>
    <w:p>
      <w:r>
        <w:t>Gemäss § 17 Abs. 2 des Einführungsgesetzes zum Bundesgesetz über den Schutz von Umwelt und Gewässer (EG UWR; SAR 781.200) vom</w:t>
      </w:r>
    </w:p>
    <w:p>
      <w:r>
        <w:rPr>
          <w:b/>
        </w:rPr>
        <w:t>E. 5</w:t>
      </w:r>
    </w:p>
    <w:p>
      <w:r>
        <w:t>Die Kosten für den Neubau der Kanalisation im Abschnitt KS I bis KS A werden sich gemäss Kostenschätzung vom Mai 2020 auf insgesamt Fr. 267'031.15 belaufen. Die Kosten für den Abschnitt KS I bis KS K werden sich auf Fr. 22'268.28 belaufen. Sie setzen sich jeweils zusammen aus den Positionen Baumeisterarbeiten, Sanitärarbeiten und Elektroarbeiten, den Nebenkosten für Gärtner/Landwirt, Geometer, Kanal-TV, Bewilligungsge- bühren, Plankopien, Honorar und Unvorhergesehenes/Diverses/Rundung von ca. 10 % sowie Beitragsplan (inkl. MWST, exkl. Einspracheverhand- lungen). Soweit ersichtlich sind keine unzulässigen Beträge darin enthal- ten. Das wird von den Beschwerdeführenden auch nicht behauptet.</w:t>
      </w:r>
    </w:p>
    <w:p>
      <w:r>
        <w:rPr>
          <w:b/>
        </w:rPr>
        <w:t>E. 6.1</w:t>
      </w:r>
    </w:p>
    <w:p>
      <w:r>
        <w:t>Vorab werden die wichtigsten Grundsätze des Erschliessungsbeitrags- rechts dargelegt (Erw. 6.2. ff.). Anschliessend wird anhand der aufgeführ- ten Kriterien zu prüfen sein, ob der verfügte Beitrag an die Kanalisationser- schliessung nicht nur in genereller, sondern auch in individueller Optik ge- rechtfertigt ist.</w:t>
      </w:r>
    </w:p>
    <w:p>
      <w:r>
        <w:rPr>
          <w:b/>
        </w:rPr>
        <w:t>E. 6.2</w:t>
      </w:r>
    </w:p>
    <w:p>
      <w:r>
        <w:t>Baubeiträge (sogenannte Vorzugslasten) wie der hier zur Diskussion ste- hende Erschliessungsbeitrag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Häfe- lin/Müller/Uhlmann, a.a.O., N 2814). Im Verfahren zur Festsetzung von Baubeiträgen umfasst die materielle Prüfung regelmässig drei Stufen. Zu- nächst kann streitig sein, ob überhaupt ein Sondervorteil vorliegt oder – mit anderen Worten – ob der Beitragsperimeter richtig abgegrenzt und das be- 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(SchKE 4-BE.2011.1 vom 22. August 2012 in Sachen E.H. gegen Einwoh- nergemeinde E., Erw. 6.2.; AGVE 1992, S. 195; VGE WBE.2013.382 vom 16. Juni 2014 in Sachen O.D. gegen EG O., S. 13 mit Hinweisen).</w:t>
      </w:r>
    </w:p>
    <w:p>
      <w:r>
        <w:rPr>
          <w:b/>
        </w:rPr>
        <w:t>E. 6.3</w:t>
      </w:r>
    </w:p>
    <w:p>
      <w:r>
        <w:t>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w:t>
      </w:r>
    </w:p>
    <w:p>
      <w:r>
        <w:t>- 11 - jedoch nur eine summarische Prüfung vor und korrigiert lediglich offensicht- liche Mängel (SchKE 4-BE.2011.1 vom 22. August 2012 in Sachen E.H. gegen Einwohnergemeinde E., Erw. 6.3.; vgl. AGVE 1996, S. 449).</w:t>
      </w:r>
    </w:p>
    <w:p>
      <w:r>
        <w:rPr>
          <w:b/>
        </w:rPr>
        <w:t>E. 6.4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w:t>
      </w:r>
    </w:p>
    <w:p>
      <w:r>
        <w:rPr>
          <w:b/>
        </w:rPr>
        <w:t>E. 6.5</w:t>
      </w:r>
    </w:p>
    <w:p>
      <w:r>
        <w:t>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Dabei ist ein objektiver Massstab anzuwenden und nicht auf die subjektiven</w:t>
      </w:r>
    </w:p>
    <w:p>
      <w:r>
        <w:t>- 12 - Bedürfnisse des Grundeigentümers abzustellen (Bundesgerichtsent- scheide 1C_481/2012 vom 21. Dezember 2012, Erw. 2.1 und 2P.278/2001 vom 7. Februar 2002, Erw. 2.2. und 3.2.1). Muss eine Anlage aufgrund ge- änderter Vorschriften neu errichtet oder ersetzt werden, entsteht den da- nach wieder gesetzeskonform erschlossenen Grundstücken ein Sonder- vorteil, der einen Beitrag rechtfertigt (Bundesgerichtsentscheid 2C_759/2014 vom 6. Februar 2015, Erw. 6.3 mit Hinweisen).</w:t>
      </w:r>
    </w:p>
    <w:p>
      <w:r>
        <w:rPr>
          <w:b/>
        </w:rPr>
        <w:t>E. 6.6</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w:t>
      </w:r>
    </w:p>
    <w:p>
      <w:r>
        <w:rPr>
          <w:b/>
        </w:rPr>
        <w:t>E. 6.7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zwar grundsätzlich ein einmali- ger Vorgang. Es kann aber die Möglichkeit, eine bestehende Baute abzu- 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rPr>
          <w:b/>
        </w:rPr>
        <w:t>E. 6.8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w:t>
      </w:r>
    </w:p>
    <w:p>
      <w:r>
        <w:t>- 13 -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6.9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6.10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rPr>
          <w:b/>
        </w:rPr>
        <w:t>E. 7</w:t>
      </w:r>
    </w:p>
    <w:p>
      <w:r>
        <w:t>Die aktualisierte Fassung der SIA-Norm 190 aus dem Jahr 2017 sieht in Ziffer 2.4.6. für Rohre im Baugebiet im Mischsystem sowie im modifizierten Mischsystem eine Mindestnennweite von 300 mm vor. Von dieser Vorgabe kann in begründeten Fällen in Absprache mit der kantonalen Fachstelle ab- gewichen werden. Bei der Beurteilung der Erschliessungssituation eines Gebiets hat sich die Gemeinde an den aktuellen Anforderungen an Abwas- serleitungen zu orientieren. Die bisherige Schmutzwasserleitung ist somit für die Umsetzung des im GEP vorgesehenen Teil-Trennsystems zu wenig gross dimensioniert für das in den Perimeter einbezogene Gebiet XY.</w:t>
      </w:r>
    </w:p>
    <w:p>
      <w:r>
        <w:t>- 14 - Die über die neue Schmutzwasserleitung erschliessbaren Grundstücke werden damit erstmals planungskonform erschlossen. Das Gebiet "XY" er- langt aus der Ergänzung der Entwässerungsanlage einen (generellen) Sondervorteil.</w:t>
      </w:r>
    </w:p>
    <w:p>
      <w:r>
        <w:rPr>
          <w:b/>
        </w:rPr>
        <w:t>E. 8.1</w:t>
      </w:r>
    </w:p>
    <w:p>
      <w:r>
        <w:t>Wie bereits festgehalten, war das Gebiet "XY" ohne die neuen Anlagen un- genügend erschlossen, was gemäss Rechtsprechung für alle Grundstücke einer Erschliessungseinheit gilt (Erw. 6.4.). Es ist also grundsätzlich davon auszugehen, dass die neuen Erschliessungsanlagen allen Parzellen im be- troffenen Gebiet - auch den bereits überbauten - einen Sondervorteil brin- gen. Auch in Bezug auf Parzelle aaa ist ein wirtschaftlicher Sondervorteil ohne weiteres zu bejahen, wenn ein Anschluss tatsächlich möglich ist. Bei der Beurteilung der Anschlussmöglichkeiten sind objektive, realistische Überbauungsvarianten in Erwägung zu ziehen. Abwasserleitungen werden anders als Wasserleitungen nicht unter Druck geführt. Aus diesem Grund erfolgt die Entwässerung wenn immer möglich im freien Gefälle, damit das Abwasser nicht vom Gebäude in die öffentliche Kanalisationsleitung gepumpt werden muss. Die Entwässerung im Gefälle ist grundsätzlich einfacher und daher vorteilhafter. Vorliegend wurde nur der nördliche Parzellenteil (insgesamt 856 m2) in den Perimeter einbezogen. Der nördliche Parzellenteil kann problemlos in die Kanalisation XY entwässert werden. Der südliche Teil der Parzelle wurde dagegen nicht mit Beiträgen belastet. Dabei spielt es keine Rolle, dass ein Anschluss an die Kanalisation XY aufgrund der heutigen Bebauung der Parzelle nicht sinnvoll wäre. Ebenso wenig kommt es darauf an, dass die Leitung in Richtung Süden noch immer intakt ist. Es kommt vielmehr darauf an, ob die objektive Möglichkeit eines Anschlusses die neue Leitung be- steht. Wenn das bestehende Gebäude eines Tages abgerissen wird und auf der Parzelle ein Neubau errichtet wird, wird ein Anschluss an die Kana- lisation XY problemlos möglich sein (Protokoll S. 8). Die momentane Er- schliessung des bestehenden Gebäudes ist noch durch die Besitzstands- garantie geschützt (Erw. 6.7.). Bei Erstellung eines Neubaus auf dem Grundstück wird jedoch für eine gesetzeskonforme Erschliessung ein An- schluss an das Teil-Trennsystem erforderlich sein (Protokoll, S. 9). Der An- schluss an die öffentliche Kanalisationsleitung in Richtung der Y-Strasse wird im Gegensatz zur Anschlussmöglichkeit über den südlichen Teil der Parzelle nicht über Parzelle ggg erfolgen müssen, sondern wird direkt auf dem Grundstück der Beschwerdeführenden möglich sein. Auch wenn auf- grund des Parzellierungsvertrags keine Begründung von Dienstbarkeiten notwendig ist (vgl. Protokoll in 4-BE.2021.16, S. 5), ermöglicht die Er- schliessung einen direkten Anschluss an die Kanalisation im Teil-Trennsys- tem, was einen Sondervorteil darstellt.</w:t>
      </w:r>
    </w:p>
    <w:p>
      <w:r>
        <w:t>- 15 -</w:t>
      </w:r>
    </w:p>
    <w:p>
      <w:r>
        <w:rPr>
          <w:b/>
        </w:rPr>
        <w:t>E. 8.2</w:t>
      </w:r>
    </w:p>
    <w:p>
      <w:r>
        <w:t>Als unbehelflich erweist sich somit auch das Argument, dass die Parzelle aaa über die Kanalisation im XZ erschlossen sei. Zu Recht hat die Be- schwerdegegnerin nicht die gesamte Parzelle aaa in den Perimeter einbe- zogen, sondern lediglich den nördlichen Teil von 542 m2 in der 1. Bautiefe und den mittleren Teil von 314 m2 in der 2. Bautiefe belastet. Der südliche Teil von 338 m2 wurde gar nicht in den Perimeter einbezogen. Dadurch wurde der Erschliessungsmöglichkeit an die Kanalisation im XZ hinrei- chend Rechnung getragen. Die Perimetergrenzziehung gibt somit keinen Anlass zur Beanstandung. Den in den Beitragsperimeter einbezogenen Flächen kommt ein wirtschaftlicher Sondervorteil zu (Erw. 6.5.).</w:t>
      </w:r>
    </w:p>
    <w:p>
      <w:r>
        <w:rPr>
          <w:b/>
        </w:rPr>
        <w:t>E. 9.1</w:t>
      </w:r>
    </w:p>
    <w:p>
      <w:r>
        <w:t>Als letzter Schritt sind die Kostenaufteilungen zwischen Gemeinde und Grundeigentümern sowie unter den Grundeigentümern zu prüfen.</w:t>
      </w:r>
    </w:p>
    <w:p>
      <w:r>
        <w:rPr>
          <w:b/>
        </w:rPr>
        <w:t>E. 9.2</w:t>
      </w:r>
    </w:p>
    <w:p>
      <w:r>
        <w:t>Der Gemeinderat qualifiziert die neue Schmutzwasserleitung im Abschnitt KS A - I als Groberschliessung (Grundsätze der Kostenverlegung, S. 4). Gemäss § 45 AR tragen die Grundeigentümer die Kosten der Grober- schliessung höchstens zu 70 %. Dementsprechend wurde der Gemeinde- anteil auf 30 % festgelegt. Die vorgenommene Aufteilung der Beiträge zwi- schen Gemeinde und Grundeigentümern entspricht der Regelung im AR und ist nicht zu beanstanden. Im Abschnitt KS K - KS I wird die Leitung als Feinerschliessung qualifiziert. Dementsprechend haben die Anstösser die Kosten der Erstellung im Um- fang von 100 % zu tragen (Grundsätze der Kostenverlegung, S. 4). Dies entspricht der Regelung gemäss § 45 AR und ist ebenfalls nicht zu bean- standen.</w:t>
      </w:r>
    </w:p>
    <w:p>
      <w:r>
        <w:rPr>
          <w:b/>
        </w:rPr>
        <w:t>E. 9.3</w:t>
      </w:r>
    </w:p>
    <w:p>
      <w:r>
        <w:t>Zur Kostenaufteilung unter den Grundeigentümern haben sich die Parteien nicht geäussert, weshalb sich die Prüfung auf offensichtliche Fehler be- schränkt. Die Beiträge der Grundeigentümer werden zunächst nach Fläche abge- stuft. Es werden 4 Bautiefen berücksichtigt. Parzellen bzw. Parzellenteile in der 1. Bautiefe werden zu 100 % belastet, die 2. Bautiefe wird mit 75 % belastet, die 3. Bautiefe wird mit 50 % und die 4. Bautiefe wird mit 25 % belastet. Bei Parzellen, die an mehrere Leitungen anstossen, wird das Prin- zip der Winkelhalbierenden angewendet (Grundsätze der Kostenverle- gung, S. 4). Weiter wird die Zonenzugehörigkeit der Parzellen berücksich-</w:t>
      </w:r>
    </w:p>
    <w:p>
      <w:r>
        <w:t>- 16 - tigt. Dabei wird die maximal zulässige Ausnützungsziffer als Gewichtungs- faktor verwendet. Die innerhalb des Perimeters des Abschnitts KS I - KS A gelegenen Parzellen befinden sich in der Wohnzone 2 (W 2) und der Wohn- und Gewerbezone 2 (WG 2). Die innerhalb des Perimeters des Abschnitts KS K bis KS I gelegenen Grundstücke befinden sich in der Wohnzone 2. Für die Parzellen in der W 2 wird dementsprechend der Gewichtungsfaktor 0.45 und für die Parzellen in der WG 2 der Gewichtungsfaktor 0.6 ange- wendet. Überbaute Grundstücke werden nur zu 2/3 belastet (Grundsätze der Kostenverlegung, S. 5). Von der Parzelle der Beschwerdeführenden wurden in den Beitragsperimeter Schmutzwasser KS K bis KS I 542 m2 in der 1. Bautiefe und 314 m2 in der 2. Bautiefe belastet. Aufgrund der Bauzo- nenzugehörigkeit und der bestehenden Bebauung wurde eine Fläche von 520.93 m2 belastet. Es wurde ihnen damit der gemäss verwaltungsgericht- licher Rechtsprechung maximal zulässige Abzug gewährt (vgl. VGE WBE.2006.30 vom 5. Juli 2007, Erw. 6.2.3). Die Kostenaufteilung unter den Grundeigentümern wurde ebenfalls korrekt vorgenommen.</w:t>
      </w:r>
    </w:p>
    <w:p>
      <w:r>
        <w:rPr>
          <w:b/>
        </w:rPr>
        <w:t>E. 10</w:t>
      </w:r>
    </w:p>
    <w:p>
      <w:r>
        <w:t>Zusammenfassend ist festzuhalten, dass das Gebiet XY erst durch den Neubau der Schmutzwasserleitung gesetzeskonform erschlossen wird (Erw. 7.). Dem Grundstück der Beschwerdeführenden erwächst dadurch ein Sondervorteil (Erw. 8.2.). Die Kostenaufteilungen zwischen Gemeinde und Grundeigentümern (Erw. 9.2.) sowie unter den Grundeigentümern (Erw. 9.3.) sind nicht zu beanstanden. Die Beschwerde ist abzuweisen.</w:t>
      </w:r>
    </w:p>
    <w:p>
      <w:r>
        <w:rPr>
          <w:b/>
        </w:rPr>
        <w:t>E. 11.1</w:t>
      </w:r>
    </w:p>
    <w:p>
      <w:r>
        <w:t>Abschliessend sind die Verfahrenskosten zu verlegen. Sie werden den Par- teien in der Regel nach Ausgang des Verfahrens auferlegt (§ 31 Abs. 2 VRPG). Bei diesem Ausgang des Verfahrens sind die Kosten vollumfäng- lich von den Beschwerdeführenden zu tragen.</w:t>
      </w:r>
    </w:p>
    <w:p>
      <w:r>
        <w:rPr>
          <w:b/>
        </w:rPr>
        <w:t>E. 11.2.1</w:t>
      </w:r>
    </w:p>
    <w:p>
      <w:r>
        <w:t>Die Parteikosten werden nach denselben Grundsätzen verlegt (§§ 29 und 32 Abs. 2 VRPG). Die Parteikosten sind demnach ebenfalls von den Be- schwerdeführenden zu übernehmen. Der Rechtsvertreter der Beschwerdegegnerin reichte dem Gericht anläss- lich der Verhandlung vom 23. November 2023 eine Kostennote über Fr. 3'327.95 (inklusive Auslagen und Mehrwertsteuer) ein.</w:t>
      </w:r>
    </w:p>
    <w:p>
      <w:r>
        <w:t>- 17 -</w:t>
      </w:r>
    </w:p>
    <w:p>
      <w:r>
        <w:rPr>
          <w:b/>
        </w:rPr>
        <w:t>E. 11.2.2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12'306.10. Gemäss § 8a Abs. 1 lit. a AnwT liegt die Entschädigung bei einem Streitwert bis Fr. 20'000.00 zwi- schen Fr. 600.00 bis Fr. 4'000.00. Innerhalb dieses Rahmens richtet sich die Entschädigung nach dem mutmasslichen Aufwand des Anwalts, der Bedeutung und der Schwierigkeit des Falls (§ 8a Abs. 2 AnwT). Der mass- gebende Aufwand sowie die Schwierigkeit werden im vorliegenden Verfah- ren als mittel beurteilt. Danach scheint eine Parteientschädigung von Fr. 2'000.00 angemessen (inkl. Auslagen und Mehrwertsteuer, § 8c AnwT). Von einem ausserordentlichen Aufwand nach § 8b Abs. 1 AnwT kann auch nach der eigenen Deklaration des Rechtsvertreters, der in der vorgelegten Kostennote einen Aufwand von 10 Stunden ausweist, nicht die Rede sein.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