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4-BE.2012.2 vom 14. März 2012</w:t>
      </w:r>
    </w:p>
    <w:p>
      <w:r>
        <w:t>Ag Spezialverwaltungsgericht, 2012-03-14, DE</w:t>
      </w:r>
    </w:p>
    <w:p>
      <w:r>
        <w:rPr>
          <w:b/>
        </w:rPr>
        <w:t xml:space="preserve">Quelle: </w:t>
      </w:r>
      <w:r>
        <w:t>https://mcp.opencaselaw.ch/entscheid/ag_spezialverwaltungsgericht_4-BE.2012.2</w:t>
      </w:r>
    </w:p>
    <w:p>
      <w:r>
        <w:t>FR: AG_SPEZIALVERWALTUNGSGERICHT 4-BE.2012.2 du 14 mars 2012</w:t>
      </w:r>
    </w:p>
    <w:p>
      <w:r>
        <w:t>IT: AG_SPEZIALVERWALTUNGSGERICHT 4-BE.2012.2 del 14 marzo 2012</w:t>
      </w:r>
    </w:p>
    <w:p>
      <w:pPr>
        <w:pStyle w:val="Heading2"/>
      </w:pPr>
      <w:r>
        <w:t>Erwägungen</w:t>
      </w:r>
    </w:p>
    <w:p>
      <w:r>
        <w:rPr>
          <w:b/>
        </w:rPr>
        <w:t>E. 1.1</w:t>
      </w:r>
    </w:p>
    <w:p>
      <w:r>
        <w:t>Die Einwohnergemeinde R. beabsichtigt, die X-Strasse auszubauen. Die Kosten von Fr. 750'000.— (gemäss Kostenvoranschlag; vgl. Vorakten [VA] 8/2) werden zu 30 % von der Gemeinde getragen, 70 % sollen auf die Grundeigentümer verteilt werden (VA 8/4).</w:t>
      </w:r>
    </w:p>
    <w:p>
      <w:r>
        <w:rPr>
          <w:b/>
        </w:rPr>
        <w:t>E. 1.2</w:t>
      </w:r>
    </w:p>
    <w:p>
      <w:r>
        <w:t>A. ist Eigentümerin der Parzellen aaa (im Halte von 1'457 m2) und bbb ( im Halte von 758 m2) im Beitragsperimeter des Strassenbaus. Diese Grund- stücke sollen mit Beiträgen von Fr. 27'530.— (Parzelle aaa) und Fr. 32'124.— (Parzelle bbb), zusammen Fr. 59'654.— belastet werden (Verteilung der Kosten, VA 8/4).</w:t>
      </w:r>
    </w:p>
    <w:p>
      <w:r>
        <w:rPr>
          <w:b/>
        </w:rPr>
        <w:t>E. 2.1</w:t>
      </w:r>
    </w:p>
    <w:p>
      <w:r>
        <w:t>A. erhob zusammen mit anderen Betroffenen Einsprache gegen die verfüg- ten Beiträge (Einschreiben vom 17. September 2010). Die Einsprecher ver- langten eine Reduktion des Kostenanteils. In einem separaten Absatz mit Überschrift "Zusatzeinsprache betreffend Grundstück A." wurde zudem beantragt, den belasteten Abschnitt der Par- zelle aaa aus dem Perimeter zu entlassen.</w:t>
      </w:r>
    </w:p>
    <w:p>
      <w:r>
        <w:rPr>
          <w:b/>
        </w:rPr>
        <w:t>E. 2.2</w:t>
      </w:r>
    </w:p>
    <w:p>
      <w:r>
        <w:t>Der Gemeinderat wies die Begehren mit Protokollauszügen Nr. 187 (Sam- meleinsprache) und Nr. 185 (Zusatzeinsprache A.), beide vom 19. Dezem- ber 2011, ab.</w:t>
      </w:r>
    </w:p>
    <w:p>
      <w:r>
        <w:rPr>
          <w:b/>
        </w:rPr>
        <w:t>E. 3.1</w:t>
      </w:r>
    </w:p>
    <w:p>
      <w:r>
        <w:t>Die beiden negativen Einspracheentscheide liess A., vertreten durch ihren Sohn B., mit je einer Beschwerde bei der Schätzungskommission nach Baugesetz (kurz: Schätzungskommission) anfechten. Sinngemäss wird be- antragt, die Beschwerdeführerin von den Beiträgen zu entlasten (zwei Schreiben, je vom 20. Januar 2012).</w:t>
      </w:r>
    </w:p>
    <w:p>
      <w:r>
        <w:t>- 3 -</w:t>
      </w:r>
    </w:p>
    <w:p>
      <w:r>
        <w:rPr>
          <w:b/>
        </w:rPr>
        <w:t>E. 3.2</w:t>
      </w:r>
    </w:p>
    <w:p>
      <w:r>
        <w:t>Der Präsident der Schätzungskommission teilte B. mit Eröffnungsschreiben vom 2. Februar 2012 mit, dass die beiden Eingaben vereinigt würden; die Streitsache könne in einem Verfahren behandelt werden. Sodann ersuchte er ihn, einen Kostenvorschuss von Fr. 3'900.— zu bezahlen. Innert dersel- ben Frist habe er mitzuteilen, falls er mit der vorläufigen prozessualen Wür- digung nicht einverstanden sei.</w:t>
      </w:r>
    </w:p>
    <w:p>
      <w:r>
        <w:rPr>
          <w:b/>
        </w:rPr>
        <w:t>E. 3.3</w:t>
      </w:r>
    </w:p>
    <w:p>
      <w:r>
        <w:t>B. antwortete darauf mit Schreiben vom 14. Februar 2012. Es sehe sich am Anfang eines langen Zermürbungskampfes. Es gehe offenbar darum, ihn mundtot zu machen. Er habe den Verdacht, dass der Staat Schweiz lang- sam zu einer Bananenrepublik verkomme. Da der Präsident keine konkrete Stellungnahme zum Problem bezogen habe, stimme er der vorläufigen pro- zessualen Würdigung im Schreiben vom 2. Februar 2012 nicht zu.</w:t>
      </w:r>
    </w:p>
    <w:p>
      <w:r>
        <w:rPr>
          <w:b/>
        </w:rPr>
        <w:t>E. 3.4</w:t>
      </w:r>
    </w:p>
    <w:p>
      <w:r>
        <w:t>Am 20. Februar 2012 wandte sich der Präsident erneut an B.. Er erklärte, mit der Eröffnung des Verfahrens sei er einzig den für das Gericht gelten- den gesetzlichen Vorgaben gefolgt. Der Entscheid, ob das Beschwerdever- fahren durchgeführt werden solle, liege bei B.. Voraussetzung für die Durchführung sei aber, dass der Kostenvorschuss geleistet werde. Der Präsident setzte "eine zweite und letzte" Zahlungsfrist. Falls auch diese Frist ungenutzt verstreiche, werde auf die Beschwerde nicht eingetreten.</w:t>
      </w:r>
    </w:p>
    <w:p>
      <w:r>
        <w:rPr>
          <w:b/>
        </w:rPr>
        <w:t>E. 4.1</w:t>
      </w:r>
    </w:p>
    <w:p>
      <w:r>
        <w:t>Gemäss § 30 VRPG (Gesetz über die Verwaltungsrechtspflege [Verwal- tungsrechtspflegegesetz, VRPG; SAR 271.200] vom 4. Dezember 2007) kann die instruierende Behörde einen Anteil der mutmasslichen Verfah- renskosten als Kostenvorschuss erheben. Bezahlt die Partei den Kosten- vorschuss nicht innert Frist, ist ihr eine letzte Frist von 10 Tagen anzuset- zen mit der Androhung, dass bei Nichtleistung auf das Begehren nicht ein- getreten wird.</w:t>
      </w:r>
    </w:p>
    <w:p>
      <w:r>
        <w:rPr>
          <w:b/>
        </w:rPr>
        <w:t>E. 4.2</w:t>
      </w:r>
    </w:p>
    <w:p>
      <w:r>
        <w:t>f. des Bundesgerichtsentscheids). Das Gericht beschliesst:</w:t>
      </w:r>
    </w:p>
    <w:p>
      <w:r>
        <w:rPr>
          <w:b/>
        </w:rPr>
        <w:t>E. 5</w:t>
      </w:r>
    </w:p>
    <w:p>
      <w:r>
        <w:t>Bei diesem Ausgang des Verfahrens sind die Kosten der Beschwerdefüh- rerin aufzuerlegen (§ 149 Abs. 1 BauG in Verbindung mit § 31 Abs. 2 VRPG). Angesichts des geringen Aufwands beschränkt sich die Schät- zungskommission auf einen pauschalen Auslagenersatz (vgl. § 23 des Ver- fahrenskostendekrets vom 24. November 1987 [VKD; SAR 221.150]). Die Beschwerdegegnerin hat mangels anwaltlicher Vertretung keinen An- spruch auf Parteikostenersatz (§ 32 Abs. 2 VRPG in Verbindung mit § 29 VRPG).</w:t>
      </w:r>
    </w:p>
    <w:p>
      <w:r>
        <w:rPr>
          <w:b/>
        </w:rPr>
        <w:t>E. 6</w:t>
      </w:r>
    </w:p>
    <w:p>
      <w:r>
        <w:t>Von Gesetzes wegen wäre gegen den vorliegenden Entscheid als Rechts- mittel die Beschwerde in öffentlich-rechtlichen Angelegenheiten an das Bundesgericht gegeben (vgl. § 54 Abs. 1 VRPG in Verbindung mit § 35 Abs. 2 BauG). In seinem Entscheid 2C_390/2009, 2C_391/2009 vom 14. Januar 2010 hat das Bundesgericht indessen festgehalten, dass die Schät- zungskommission die Voraussetzungen an ein oberes kantonales Gericht nicht erfüllt und Beschwerden gegen ihre Entscheide daher vorderhand vom kantonalen Verwaltungsgericht zu beurteilen sind (vgl. Erw. 3.5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