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4-BE.2011.6 vom 25. Mai 2011</w:t>
      </w:r>
    </w:p>
    <w:p>
      <w:r>
        <w:t>Ag Spezialverwaltungsgericht, 2011-05-25, DE</w:t>
      </w:r>
    </w:p>
    <w:p>
      <w:r>
        <w:rPr>
          <w:b/>
        </w:rPr>
        <w:t xml:space="preserve">Quelle: </w:t>
      </w:r>
      <w:r>
        <w:t>https://mcp.opencaselaw.ch/entscheid/ag_spezialverwaltungsgericht_4-BE.2011.6</w:t>
      </w:r>
    </w:p>
    <w:p>
      <w:r>
        <w:t>FR: AG_SPEZIALVERWALTUNGSGERICHT 4-BE.2011.6 du 25 mai 2011</w:t>
      </w:r>
    </w:p>
    <w:p>
      <w:r>
        <w:t>IT: AG_SPEZIALVERWALTUNGSGERICHT 4-BE.2011.6 del 25 maggio 2011</w:t>
      </w:r>
    </w:p>
    <w:p>
      <w:pPr>
        <w:pStyle w:val="Heading2"/>
      </w:pPr>
      <w:r>
        <w:t>Erwägungen</w:t>
      </w:r>
    </w:p>
    <w:p>
      <w:r>
        <w:rPr>
          <w:b/>
        </w:rPr>
        <w:t>E. 2</w:t>
      </w:r>
    </w:p>
    <w:p>
      <w:r>
        <w:t>Es sei festzustellen, dass die Beschwerdeführer an die Kosten der neu- erstellten Abwasserleitung in der X-Strasse im Betrag von CHF 59'918.35, welche vom Beschwerdeführer 1 vorfinanziert wurden, keine Beiträge zu leisten haben.</w:t>
      </w:r>
    </w:p>
    <w:p>
      <w:r>
        <w:rPr>
          <w:b/>
        </w:rPr>
        <w:t>E. 2.1</w:t>
      </w:r>
    </w:p>
    <w:p>
      <w:r>
        <w:t>Einem Feststellungsbegehren kann nur dann entsprochen werden, wenn der Beschwerdeführer ein schutzwürdiges, rechtliches oder tatsächliches Interesse an der Feststellung hat, dass bestimmte Rechte oder Pflichten bestehen. Das Interesse muss unmittelbar und aktuell sein (Bundesge- richtsentscheid [BGE] 128 V 48; AGVE 2002 S. 576; Michael Merker, Rechtsmittel, Klage und Normenkontrollverfahren nach dem [aufgehobe- nen] aargauischen Gesetz über die Verwaltungsrechtspflege, Kommentar zu den §§ 38-72 aVRPG, Zürich 1998, § 38 N 27 ff.). Es fehlt, wenn das Rechtsschutzinteresse der beschwerdeführenden Partei mit einer Leis- tungs- oder Gestaltungsklage gewahrt werden kann (Subsidiarität der Fest- stellungsverfügung). Dem Feststellungsbegehren ist nur zu entsprechen, wenn der Beschwerdeführer an der Beseitigung einer Unklarheit über den Bestand oder Umfang öffentlich-rechtlicher Rechte und Pflichten interes- siert ist, weil er sonst Gefahr laufen würde, nachteilige Massnahmen zu treffen (BGE 108 Ib 546; Ulrich Zimmerli/ Walter Kälin/ Regina Kiener, Grundlagen des öffentlichen Verfahrensrechts, Bern 1997, S. 43).</w:t>
      </w:r>
    </w:p>
    <w:p>
      <w:r>
        <w:t>- 6 -</w:t>
      </w:r>
    </w:p>
    <w:p>
      <w:r>
        <w:rPr>
          <w:b/>
        </w:rPr>
        <w:t>E. 2.2</w:t>
      </w:r>
    </w:p>
    <w:p>
      <w:r>
        <w:t>Vorliegend kann der gewünschte Erfolg mit der Leistungsklage herbeige- führt werden. Darüber hinaus besteht kein Interesse an einer separaten Feststellung. Auf dieses Begehren ist nicht weiter einzugehen.</w:t>
      </w:r>
    </w:p>
    <w:p>
      <w:r>
        <w:rPr>
          <w:b/>
        </w:rPr>
        <w:t>E. 3</w:t>
      </w:r>
    </w:p>
    <w:p>
      <w:r>
        <w:t>Vorliegend ist strittig, ob A. einen Beitrag an die Kosten der Kanalisations- leitung in der X-Strasse bezahlen muss. Der Beitragsanteil, der auf den Miteigentumsanteil von F. an der Parzelle ccc entfällt, ist infolge ihres Beschwerderückzugs und der anschliessenden Abschreibung des Verfahrens durch das Gericht rechtskräftig geworden (Schreiben vom 27. Januar 2011; vorne D.). Er ist deshalb nicht Thema des vorliegenden Verfahrens.</w:t>
      </w:r>
    </w:p>
    <w:p>
      <w:r>
        <w:rPr>
          <w:b/>
        </w:rPr>
        <w:t>E. 3.1</w:t>
      </w:r>
    </w:p>
    <w:p>
      <w:r>
        <w:t>Die Gemeinden sind verpflichtet, von den Grundeigentümern Beiträge an die Kosten der Erstellung und Änderung von Strassen zu erheben. Für die Erstellung, Änderung und Erneuerung von Anlagen der Wasserversorgung sowie der Abwasserbeseitigung können sie Beiträge verlangen. Die Ge- meinden regeln die Erhebung von Beiträgen, soweit keine kantonalen Vor- schriften bestehen (§ 34 Abs. 1-3 BauG).</w:t>
      </w:r>
    </w:p>
    <w:p>
      <w:r>
        <w:rPr>
          <w:b/>
        </w:rPr>
        <w:t>E. 3.2</w:t>
      </w:r>
    </w:p>
    <w:p>
      <w:r>
        <w:t>Der Gemeinderat Q. stützt sich auf das am 22. Juni 2001 von der Gemein- deversammlung beschlossene Reglement über die Finanzierung von Er- schliessungsanlagen (RFE). Gemäss den allgemeinen Bestimmungen er- hebt die Gemeinde von den Grundeigentümerinnen und Grundeigentü- mern für die Kosten von Erstellung, Änderung und Betrieb der öffentlichen Anlagen Erschliessungsbeiträge, Anschlussgebühren und Benützungsge- bühren. Die einmaligen und wiederkehrenden Abgaben dürfen den Ge- samtaufwand für Erstellung, Änderung und Betrieb der öffentlichen Anla- gen inklusive Verzinsung der Schulden nicht übersteigen (§ 2 RFE). Als Änderung einer Verkehrsanlage gelten bauliche Massnahmen, die zur Erreichung der Erschliessungsfunktion gemäss Sondernutzungsplan oder Verkehrsrichtplan erforderlich sind (§ 3 Abs. 2 RFE). Zahlungspflichtig ist, wer bei Eintritt der Zahlungspflicht Eigentümer der belasteten Grundstücke ist (§ 6 RFE). Die Zahlungspflicht entsteht mit Beginn der öffentlichen Auf- lage des Beitragsplans (§ 15 RFE). Die Grundeigentümerinnen und Grund- eigentümer bezahlen Beiträge nach Massgabe der ihnen erwachsenden</w:t>
      </w:r>
    </w:p>
    <w:p>
      <w:r>
        <w:t>- 7 - Sondervorteile an die Kosten der Erstellung und Änderung der Abwasser- beseitigungsanlage. Die Kosten der Feinerschliessung tragen sie in der Re- gel zu 70 %, jene der Groberschliessung zu höchstens 50 % (§ 20 RFE).</w:t>
      </w:r>
    </w:p>
    <w:p>
      <w:r>
        <w:rPr>
          <w:b/>
        </w:rPr>
        <w:t>E. 3.3</w:t>
      </w:r>
    </w:p>
    <w:p>
      <w:r>
        <w:t>Die gesetzliche Grundlage für die Erhebung der Erschliessungsbeiträge er- weist sich als genügend. Der Kreis der Abgabepflichtigen, der Gegenstand und die Höhe der Abgabe sind in den Grundzügen umschrieben (vgl. Ulrich Häfelin/Georg Müller/Felix Uhlmann, Allgemeines Verwaltungsrecht,</w:t>
      </w:r>
    </w:p>
    <w:p>
      <w:r>
        <w:rPr>
          <w:b/>
        </w:rPr>
        <w:t>E. 5</w:t>
      </w:r>
    </w:p>
    <w:p>
      <w:r>
        <w:t>Auflage, Zürich 2010, N 2693 ff.; Bundesgerichtsentscheid 5A_45/2007 vom 6. Dezember 2007, Erw. 5.2.3; Entscheid der Schätzungskommission [SKE] 4-BE.2007.28 vom 24. März 2009 in Sachen A.V. und B.V. gegen EG S.). Das ist auch unbestritten. 4. 4.1. Die Abwasserleitung in der X-Strasse war nicht mehr dicht (vgl. die Proto- kolle der Kanalfernseh-Zustandskontrolle vom 10. Juli 1996 [Beilage 3 zur Vernehmlassung]). Das Teilstück ab der Y-Strasse bis zum Anschluss XZ sollte ersetzt werden (vgl. Baubewilligung vom 2. Juni 2003, Ziff. 5 [Beilage</w:t>
      </w:r>
    </w:p>
    <w:p>
      <w:r>
        <w:rPr>
          <w:b/>
        </w:rPr>
        <w:t>E. 5.1</w:t>
      </w:r>
    </w:p>
    <w:p>
      <w:r>
        <w:t>Das letzte Teilstück der Abwasserleitung in der X-Strasse wurde nicht er- setzt. Es ist, wie der inzwischen sanierte Abschnitt, in einem nicht geset- zeskonformen Zustand.</w:t>
      </w:r>
    </w:p>
    <w:p>
      <w:r>
        <w:rPr>
          <w:b/>
        </w:rPr>
        <w:t>E. 5.1.1</w:t>
      </w:r>
    </w:p>
    <w:p>
      <w:r>
        <w:t>Nach Art. 11 Abs. 1 und 2 GSchG (Bundesgesetz über den Schutz der Ge- wässer vom 24. Januar 1991; SR 814.20) muss das verschmutzte Abwas- ser im Bereich der öffentlichen Kanalisationen in diese eingeleitet werden. Baubewilligungen für Neu- und Umbauten dürfen nur erteilt werden, wenn die Ableitung des verschmutzen Abwasser in die Kanalisation gewährleis- tet ist (Art. 17 lit. a GSchG).</w:t>
      </w:r>
    </w:p>
    <w:p>
      <w:r>
        <w:rPr>
          <w:b/>
        </w:rPr>
        <w:t>E. 5.1.2</w:t>
      </w:r>
    </w:p>
    <w:p>
      <w:r>
        <w:t>Eine undichte, sanierungsbedürftige Abwasserleitung ist nicht gesetzes- konform. Neu- oder Umbauten auf Grundstücken, die über eine solche Lei- tung entwässert werden, dürfen nicht erteilt werden, bevor die Abwasser- leitung nicht saniert wurde. Baugesuche für die Grundstücke im Bereich des Kanalisationsleitungsab- schnitts KS 81A bis KS 81C in der X-Strasse – und somit auch für die Par- zelle ccc – dürften vorläufig also nicht bewilligt werden (der Entscheid dar- über fällt allerdings nicht in die Zuständigkeit der Schätzungskommission). Für die Grundstücke in diesem Bereich besteht keine genügende abwas- sertechnische Erschliessung. Daran ändert das von B. sanierte Teilstück nichts. Der nicht gesetzeskonforme Zustand der Leitung war ja auch der Grund, weshalb B. vorerst keine Baubewilligung für die Überbauung der Parzelle aaa bekam. Die Bewilligung wurde ihm erst erteilt, nachdem die Sanierung des Leitungsabschnitts bis zum XX (KS 81A) sichergestellt war (vorne Erw. 4.1.). Als Zwischenergebnis ist festzuhalten, dass den am maroden Abschnitt der Abwasserleitung (KS 81A bis KS 81C) angehängten Grundstücken, so auch der Parzelle ccc, kein Sondervorteil aus dem von B. sanierten Lei- tungsabschnitt erwächst.</w:t>
      </w:r>
    </w:p>
    <w:p>
      <w:r>
        <w:t>- 10 -</w:t>
      </w:r>
    </w:p>
    <w:p>
      <w:r>
        <w:rPr>
          <w:b/>
        </w:rPr>
        <w:t>E. 5.2</w:t>
      </w:r>
    </w:p>
    <w:p>
      <w:r>
        <w:t>An der Verhandlung vom 14. Dezember 2010 wurde zudem deutlich, dass es sich beim ausgeführten Projekt nicht um eine Etappe eines Gesamtpro- jekts handelt. Ein Projekt kann in Etappen ausgeführt und die Gesamtkosten auf die An- stösser sämtlicher Etappen verteilt werden. Mit Blick auf eine möglichst gleichmässige Belastung der Beitragspflichtigen ist das sogar wünschens- wert. Es setzt allerdings voraus, dass eine Gesamtrechnung gemacht und die Ausführung der Etappen zeitlich klar gestaffelt wird (zur Etappierung vgl. SKE 4-BE.2009.1 in Sachen H.R. gegen EG K. vom 26. Oktober 2010, Erw. 5.3.1.). Diese Voraussetzung ist vorliegend nicht gegeben. Nach Ansicht der Ge- meindevertreter besteht für den Ersatz des hintersten, unstrittig maroden Teilstücks, "kein Bedarf". Die Sanierung dieses Abschnitts ist nicht geplant (Protokoll, S. 3 f.). Somit können von den dortigen Anstössern auch unter diesem Titel keine Beiträge erhoben werden. Daran ändert die Tatsache nichts, dass der Gemeinderat in der Baubewilligung (Ziff. 78 Abs. 2) von B. (Vernehmlassungsbeilage 7) eine finanzielle Beteiligung der Anstösser des vorderen Abschnitts an die Sanierung des hinteren Abschnitts (KS 81A bis KS 81C) nicht ausschliesst. Gemäss Situationsplan "Ausführungsprojekt, Erschliessung XY" vom 11. Juni 2003 (Vernehmlassungsbeilage 4) ist da- für ohnehin nur ein Ersatz einer gleich dimensionierten Leitung, wenn auch mit geänderter Linienführung, vorgesehen. 6. Zusammenfassend ist festzuhalten, dass das Grundstück des Beschwer- deführers aus dem Ersatz des vorderen Leitungsabschnitts (KS 81 bis KS 81A) keinen Sondervorteil erlangt. Demzufolge braucht A. sich nicht an den Baukosten zu beteiligen. Seine Beschwerde ist gutzuheissen und der Erschliessungsbeitrag auf seinem Miteigentumsanteil an der Parzelle ccc ist aufzuheben 7. Für die Aufteilung der Verfahrenskosten gelten die allgemeinen Regeln; massgebend ist somit der Prozessausgang (§149 Abs. 1 BauG in Verbin- dung mit § 31 Abs. 2 VRPG). Die Einwohnergemeinde Q. unterliegt, wes- halb ihr die Kosten aufzuerlegen sind. Der Beschwerdeführer ist nicht anwaltlich vertreten, weshalb keine Partei- kosten zu ersetzen sind (§ 32 Abs. 2 VRPG und § 29 VRPG).</w:t>
      </w:r>
    </w:p>
    <w:p>
      <w:r>
        <w:t>- 11 - 8. Von Gesetzes wegen wäre gegen den vorliegenden Entscheid als Rechts- mittel die Beschwerde in öffentlich-rechtlichen Angelegenheiten an das Bundesgericht gegeben (§ 54 Abs. 1 VRPG in Verbindung mit § 35 BauG). In seinem Entscheid 2C_390/2009, 2C_391/2009 vom 14. Januar 2010 hat das Bundesgericht indessen festgehalten, dass die Schätzungskommis- sion die Voraussetzungen an ein oberes kantonales Gericht nicht erfüllt und Beschwerden gegen ihre Entscheide daher vorderhand vom kantonalen Verwaltungsgericht zu beurteilen sind (vgl. Erw. 3.5, und 4.2. f. des Bun- desgerichtsentscheids). Das Gericht erkennt:</w:t>
      </w:r>
    </w:p>
    <w:p>
      <w:r>
        <w:rPr>
          <w:b/>
        </w:rPr>
        <w:t>E. 7</w:t>
      </w:r>
    </w:p>
    <w:p>
      <w:r>
        <w:t>zur Vernehmlassung). Im Bericht der regionalen Bauverwaltung zum Er- schliessungsprojekt für die Parzellen fff/aaa (XY) wurde die bestehende Entwässerung als ungenügend qualifiziert (Baubewilligung, Ziff. 3). Folgerichtig verweigerte der Gemeinderat Q. B. die Baubewilligung für die Überbauung der Parzelle aaa, bis der Ersatz des ersten, 50 m langen Lei- tungsabschnitts durch eine neue PVC-Leitung mit Kaliber 300 mm sicher- gestellt war. Die Abteilung für Umwelt des Departements Bau, Verkehr und Umwelt (BVU, damals noch Baudepartement) genehmigte das Projekt, das auch die weiterführende Erschliessung über die Parzelle aaa einschloss, am 14. Mai 2003 (Beilage 6 zur Vernehmlassung). Erstaunlicherweise ist der vorliegend interessierende Leitungsabschnitt im Generellen Kanalisationsprojekt (GKP) 1999 als "ordnungsgemäss" einge- tragen. Im aktuellen Generellen Entwässerungsplan (GEP) fehlt dieser Lei- tungsabschnitt gar auf dem Plan. Die Gemeindevertreter waren an der Ver- handlung vom 14. Dezember 2010 nicht in der Lage, eine Erklärung dafür abzugeben (Protokoll, S. 2 f. und 8). 4.2. Für die blosse Sanierung einer Abwasserleitung können nach dem RFE keine Beiträge erhoben werden (vgl. § 2 RFE). Nur wenn bei Anlass einer Sanierung ein Ausbau stattfindet, sind die Beitragsvoraussetzungen gege- ben.</w:t>
      </w:r>
    </w:p>
    <w:p>
      <w:r>
        <w:t>- 8 - 4.2.1. Unter den Parteien ist strittig, ob die alte Leitung schon durchgehend Kali- ber 300 mm aufwies und – wenn nicht – ob ein Ausbau notwendig war. Der Beschwerdeführer – bzw. sein Vertreter im vorausgehenden Verfahren – stützt sich auf den Kanalisationsplan, der vom Büro H. AG, S., bis im Juni 1998 nachgeführt wurde. Dort sei die Leitung in der X-Strasse bis zur Ecke des Einmündungsradius der Parzelle eee mit der Y-Strasse mit Kaliber 300 mm angegeben (Replik vom 25. Januar 2010). Der Gemeinderat hält dem entgegen, gemäss GKP habe die Leitung auf der ganzen Länge ein Kaliber von 250 mm gehabt. Anlässlich der Kanal- fernsehaufnahmen der I. AG vom 10. Juli 1996 seien alle vier Haltungen mit 250 mm erfasst worden. Im Situationsplan "Ausführungsprojekt" vom</w:t>
      </w:r>
    </w:p>
    <w:p>
      <w:r>
        <w:rPr>
          <w:b/>
        </w:rPr>
        <w:t>E. 11</w:t>
      </w:r>
    </w:p>
    <w:p>
      <w:r>
        <w:t>Juni 2003 seien auf drei Haltungen Durchmesser von 250 mm angege- ben. Die Bezeichnung PVC Ø 300 beziehe sich auf die neu zu bauende Leitung. Das Projekt sei zudem am 14. Mai 2003 von der kantonalen Fach- stelle genehmigt worden (Vernehmlassung zu Ziff. 7). 4.2.2. Der von der Gemeinde in Kopie eingereichte Ausschnitt aus dem GKP gibt für die Leitungsabschnitte KS 81 bis KS 87 durchgehend Durchmesser 250mm an. Ebenso die Protokolle der Kanalfernseh-Zustandskontrolle (Beilagen 2 und 3 zur Vernehmlassung). Auf der Kopie des Situationsplan- ausschnitts des Ingenieurbüros H. AG, S., vom Juni 1998, ist jedoch der Abschnitt bei der Einmündung der Y-Strasse mit 300 mm eingezeichnet (Beilage 3 zur Beschwerde). An der Verhandlung vom 14. Dezember 2010 blieb ebenfalls unklar, ob ein Ausbau der Leitung auf 300 mm erforderlich war. Das BVU hatte die Ge- meinde darauf hingewiesen, dass die SIA-Norm 190, Ausgabe 2000, (nicht SIA-Norm 190 V, Ausgabe 1993) anwendbar sei. Während die ältere Norm für Mischsysteme im Baugebiet die Mindestsollweite von 300 mm vorsah, unterscheidet die aktuelle Norm nicht mehr zwischen Misch- und Trennsys- tem, sondern verlangt einheitlich eine Mindestsollweite von 250 mm. Die abschliessende Klärung der Fragen (Kaliber der alten Leitung, Notwen- digkeit eines Ausbaus) können an dieser Stelle aber offen bleiben. Die Lie- genschaft von A. ist nämlich nicht an das ersetzte Leitungsstück ange- schlossen, sondern hängt am letzten, noch nicht sanierten Leitungsab- schnitt der X-Strasse. Es ist daher vorab zu prüfen, ob er unter diesen Um- ständen überhaupt von einem Sondervorteil, den der Ersatz des vorange- henden Leitungsabschnitts allenfalls generiert hätte, überhaupt profitieren würde.</w:t>
      </w:r>
    </w:p>
    <w:p>
      <w:r>
        <w:t>- 9 - 5.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