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3-RV.2024.78 vom 19. Dezember 2024</w:t>
      </w:r>
    </w:p>
    <w:p>
      <w:r>
        <w:t>Ag Spezialverwaltungsgericht, 2024-12-19, DE</w:t>
      </w:r>
    </w:p>
    <w:p>
      <w:r>
        <w:rPr>
          <w:b/>
        </w:rPr>
        <w:t xml:space="preserve">Quelle: </w:t>
      </w:r>
      <w:r>
        <w:t>https://mcp.opencaselaw.ch/entscheid/ag_spezialverwaltungsgericht_3-RV.2024.78</w:t>
      </w:r>
    </w:p>
    <w:p>
      <w:r>
        <w:t>FR: AG_SPEZIALVERWALTUNGSGERICHT 3-RV.2024.78 du 19 décembre 2024</w:t>
      </w:r>
    </w:p>
    <w:p>
      <w:r>
        <w:t>IT: AG_SPEZIALVERWALTUNGSGERICHT 3-RV.2024.78 del 19 dicembre 2024</w:t>
      </w:r>
    </w:p>
    <w:p>
      <w:pPr>
        <w:pStyle w:val="Heading2"/>
      </w:pPr>
      <w:r>
        <w:t>Erwägungen</w:t>
      </w:r>
    </w:p>
    <w:p>
      <w:r>
        <w:rPr>
          <w:b/>
        </w:rPr>
        <w:t>E. 1</w:t>
      </w:r>
    </w:p>
    <w:p>
      <w:r>
        <w:t>Mit Verfügung vom 22. September 2023 wurden A._____ und B._____ von der Steuerkommission Q._____ für das Jahr 2021 zu einem steuerbaren Einkommen von CHF 57'800.00 veranlagt. In Abweichung von der Selbstdeklaration wurden anstelle der deklarierten Liegen- schaftsunterhaltskosten von CHF 62'353.00 lediglich CHF 9'087.00 zum Abzug zugelassen.</w:t>
      </w:r>
    </w:p>
    <w:p>
      <w:r>
        <w:rPr>
          <w:b/>
        </w:rPr>
        <w:t>E. 2</w:t>
      </w:r>
    </w:p>
    <w:p>
      <w:r>
        <w:t>Gegen die Verfügung vom 22. September 2023 erhoben A._____ und B._____ mit Schreiben vom 19. Oktober 2023 Einsprache und beantragten, es seien Liegenschaftsunterhaltskosten von CHF 47'651.00 zum Abzug zuzu- lassen.</w:t>
      </w:r>
    </w:p>
    <w:p>
      <w:r>
        <w:rPr>
          <w:b/>
        </w:rPr>
        <w:t>E. 2.1</w:t>
      </w:r>
    </w:p>
    <w:p>
      <w:r>
        <w:t>Die Rekurrenten beschreiben die Situation betreffend ihre Liegenschaft wie folgt (Einsprache, S. 1): "Das Haus befindet sich erhöht an einem Steilhang. Durch die nebenstehenden Neubauten, die terrassenförmig angelegt wurden, entstand eine ca. 50m hohe senkrechte Mauer, die unterhalb unseres Grundstücks aufhört. Die Erstellung einer höheren Stützmauer war darum notwendig, da bei Regen grosse Rutsch- gefahr bestand und das lose Erdreich die darunterliegenden Häuser verschüt- ten würde. Ganz abgesehen von Personen, die auch gefährdet gewesen wä- ren. Dieses Sicherheitsrisiko wollten wir nicht auf uns nehmen. Die frühere Stützmauer war hinter einem terrassierten Erdhang verborgen. Wir mussten darum aus Sicherheitsgründen eine neue, höhere Stützmauer erstellen. Dadurch wurde auf dem unteren Teil des Grundstücks eine kleine ebene Stelle frei. Auch die Terrasse wurde etwas grösser. Aus diesem Grund sind auch wert- vermehrende Ausgaben entstanden, die wir berücksichtigt haben. In früheren Jahren, bevor die Terrassenhäuser gebaut worden sind, genügte die alte Stütz- mauer, da der Abhang nicht senkrecht verlief."</w:t>
      </w:r>
    </w:p>
    <w:p>
      <w:r>
        <w:rPr>
          <w:b/>
        </w:rPr>
        <w:t>E. 2.2</w:t>
      </w:r>
    </w:p>
    <w:p>
      <w:r>
        <w:t>Die Rekurrenten beantragen, es sei die Rechnung der F._____ GmbH vom</w:t>
      </w:r>
    </w:p>
    <w:p>
      <w:r>
        <w:rPr>
          <w:b/>
        </w:rPr>
        <w:t>E. 2.3</w:t>
      </w:r>
    </w:p>
    <w:p>
      <w:r>
        <w:t>Die Steuerkommission Q._____ hat einen Abzug mit der folgenden Be- gründung abgelehnt (Einspracheentscheid, S. 2 f.): "Der Steuerkommission ist das [in der Einsprache] erwähnte Bundesgerichts- urteil [149 II 27] bekannt. Sie sieht aber keinen Zusammenhang zur neuen Stützmauer und deren Aufschüttung sowie die Böschungssicherung, mit dem Bundesgerichtsurteil. Im Jahr 2011 haben die Vorbesitzerin der betroffenen Lie- genschaft Parz. Nr. aaa und die damalige Ueberbauerin der Terrassensiedlung einen Vertrag über Landabtausch und insbesondere das Näherbaurecht abgeschlossen. Dazu ist sicher Geld geflossen, was aber für das aktuelle Prob- lem nicht relevant ist. Von Seiten dieser beiden Parteien war nie die Rede von einer schlechten Hang-Absicherung der Liegenschaft Parzelle aaa, es flossen diesbezüglich auch keine Entschädigungsbeiträge. Von Seite der Bauverwal- tung Q._____ wurde nie eine Auflage gemacht, dass die Hangsicherung für die Parzelle aaa ungenügend ist. Grundsätzlich ist es so, dass Investitionen, die beim Bau der Liegenschaft nicht getätigt wurden, später nicht als Liegen- schaftsunterhalt geltend gemacht werden können. Gemäss Merkblatt zum Liegenschaftsunterhalt des Kant. Steueramtes ist auf Seite 12 klar erwähnt, dass Kosten für die Umgestaltung der Gebäudeumge- bung (Terrainveränderungen, Wege, Gartengestaltung) nicht abzugsfähig sind. Eine Aufschüttung oder ein Terraingewinn gilt als Investition. Die Steuerkommission weist die Einsprache in diesem Punkt ab, bei den Kosten von CHF 32'388.20 handelt es sich um eine nicht abziehbare Investition und keinen Liegenschaftsunterhalt." 3.</w:t>
      </w:r>
    </w:p>
    <w:p>
      <w:r>
        <w:rPr>
          <w:b/>
        </w:rPr>
        <w:t>E. 3</w:t>
      </w:r>
    </w:p>
    <w:p>
      <w:r>
        <w:t>Mit Entscheid vom 16. Mai 2024 reduzierte die Steuerkommission Q._____ in teilweiser Gutheissung der Einsprache das steuerbare Einkommen auf CHF 48'600.00.</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 Nicht abziehbar sind die Aufwendungen für die Anschaffung, Herstellung oder Wertvermehrung von Vermögensgegenständen (§ 40 Abs. 1 lit. d StG).</w:t>
      </w:r>
    </w:p>
    <w:p>
      <w:r>
        <w:rPr>
          <w:b/>
        </w:rPr>
        <w:t>E. 3.2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w:t>
      </w:r>
    </w:p>
    <w:p>
      <w:r>
        <w:t>- 6 -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3.3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 StE 2018 B 25.6 Nr. 73) 4. Gemäss der Rechtsprechung des Spezialverwaltungsgerichts wird (auch) bei einer umfassenden Gartensanierung keine Gesamtbetrachtung vorge- nommen, sondern es kommt, wie bei Liegenschaftsunterhalt üblich, die Einzelbetrachtung zur Anwendung (vgl. SGE vom 21. August 2014 [3-RV.2014.63]). Diese Rechtsprechung gilt umso mehr, als das Bundesgericht die Gesamtbetrachtung, welche unter bestimmten Voraussetzungen auch bei Gartenanlagen angewendet wurde (vgl. Bun- desgerichtsurteil vom 29. November 2021 [2C_582/2021]), kürzlich aufge- geben hat (vgl. Bundesgerichtsurteil vom 6. Juni 2023 [9C_161/ 2023] mit Hinweis auf das Urteil vom 23. Februar 2023 [9C_677/2021] = 149 II 27). Nach dem Willen des Gesetzgebers ist für alle Arbeiten an einer Liegenschaft individuell aufgrund ihres objektiv-technischen Charakters ab- zuklären, ob sie dazu dienen, einen früheren Zustand der Liegenschaft wie- derherzustellen, mithin werterhaltend wirken. Kann dies nicht festgestellt werden, ist im Bereich der Einkommenssteuer gemäss der Normentheorie zulasten der steuerpflichtigen Person davon auszugehen, dass die Kosten der Instandstellung dienen und folglich nicht abgezogen werden können (SGE vom 21. Dezember 2023 [3-RV.2022.96]).</w:t>
      </w:r>
    </w:p>
    <w:p>
      <w:r>
        <w:t>- 7 - 5. Die Steuerkommission Q._____ hat aufgrund der von ihr angewandten Gesamtbetrachtung weder im Veranlagungs- noch im Einspracheverfahren eine positionsweise Prüfung der Rechnung der F._____ GmbH vom</w:t>
      </w:r>
    </w:p>
    <w:p>
      <w:r>
        <w:rPr>
          <w:b/>
        </w:rPr>
        <w:t>E. 4</w:t>
      </w:r>
    </w:p>
    <w:p>
      <w:r>
        <w:t>Den Einspracheentscheid vom 16. Mai 2024 (Zustellung am 20. Juni 2024) haben A._____ und B._____ mit rechtzeitigem Rekurs vom 3. Juli 2024 (Postaufgabe gleichentags) an das Spezialverwaltungsgericht, Abteilung Steuern, weitergezogen. Sie beantragen, es seien die Rechnung der Firma F._____ GmbH vom 6. März 2021 von CHF 32'388.00, die Quittung von G._____ vom 4. Oktober 2021 von CHF 119.30 und die Rechnung von F._____ GmbH vom 11. April 2021 von CHF 303.00 als Liegenschaftsunterhalt zum Abzug zuzulassen. Auf die Begründung wird, soweit für die Entscheidung erforderlich, in den Erwägungen eingegangen.</w:t>
      </w:r>
    </w:p>
    <w:p>
      <w:r>
        <w:rPr>
          <w:b/>
        </w:rPr>
        <w:t>E. 5</w:t>
      </w:r>
    </w:p>
    <w:p>
      <w:r>
        <w:t>Die Steuerkommission Q._____ und das Kantonale Steueramt beantragen die teilweise Gutheissung des Rekurses.</w:t>
      </w:r>
    </w:p>
    <w:p>
      <w:r>
        <w:rPr>
          <w:b/>
        </w:rPr>
        <w:t>E. 6</w:t>
      </w:r>
    </w:p>
    <w:p>
      <w:r>
        <w:t>März 2021 vorgenommen. Da es nicht die Aufgabe des Spezialverwaltungsgerichts ist, erstinstanzlich der bundesgerichtlichen Rechtsprechung folgend alle Ausgabenpositionen dieser Rechnung einzeln auf ihre Abzugsfähigkeit zu prüfen, ist die Angelegenheit in diesem Punkt zur Fällung eines neuen, alle Ausgabenpositionen beurteilenden und genügend begründeten Einspracheentscheides an die Steuerkommission Q._____ zurückzuweisen (vgl. SGE vom 21. März 2024 [3-RV.2023.88]).</w:t>
      </w:r>
    </w:p>
    <w:p>
      <w:r>
        <w:rPr>
          <w:b/>
        </w:rPr>
        <w:t>E. 6.1</w:t>
      </w:r>
    </w:p>
    <w:p>
      <w:r>
        <w:t>Die Rekurrenten beantragen weiter, es seien die Rechnung der F._____ GmbH vom 11. April 2021 von CHF 303.05 und die Quittung von G._____ vom 4. Oktober 2021 von CHF 119.30 als Liegenschaftsunterhalt zum Abzug zuzulassen.</w:t>
      </w:r>
    </w:p>
    <w:p>
      <w:r>
        <w:rPr>
          <w:b/>
        </w:rPr>
        <w:t>E. 6.2</w:t>
      </w:r>
    </w:p>
    <w:p>
      <w:r>
        <w:t>Die Steuerkommission Q._____ und das Kantonale Steueramt beantragen diesbezüglich die Gutheissung des Rekurses.</w:t>
      </w:r>
    </w:p>
    <w:p>
      <w:r>
        <w:rPr>
          <w:b/>
        </w:rPr>
        <w:t>E. 6.3</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einzutreten. Bei neuen Begehren wird die Angele- genheit in der Regel an die Vorinstanz zurückgewiesen, damit diese die erstinstanzliche Prüfung der Anträge vornehmen kann (SGE vom 25. Mai 2023 [3-RV.2022.74]).</w:t>
      </w:r>
    </w:p>
    <w:p>
      <w:r>
        <w:rPr>
          <w:b/>
        </w:rPr>
        <w:t>E. 6.4</w:t>
      </w:r>
    </w:p>
    <w:p>
      <w:r>
        <w:t>Auf die im Rekurs neu gestellten Anträge kann somit eingetreten werden. Zudem kann vorliegend auf eine Rückweisung verzichtet werden, da ge- meinsame Anträge vorliegen (SGE vom 31. August 2023 [3-RV.2022.78]).</w:t>
      </w:r>
    </w:p>
    <w:p>
      <w:r>
        <w:rPr>
          <w:b/>
        </w:rPr>
        <w:t>E. 6.5</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31. August</w:t>
      </w:r>
    </w:p>
    <w:p>
      <w:r>
        <w:t>- 8 - 2023 [3-RV.2022.78]). Das ist hier der Fall. Es sind daher zusätzliche Liegenschaftsunterhaltskosten von (gerundet) CHF 422.00 zum Abzug zuzulassen.</w:t>
      </w:r>
    </w:p>
    <w:p>
      <w:r>
        <w:rPr>
          <w:b/>
        </w:rPr>
        <w:t>E. 7.1.1</w:t>
      </w:r>
    </w:p>
    <w:p>
      <w:r>
        <w:t>Die amtlichen Kosten des Rekursverfahrens werden der unterliegenden Partei auferlegt. Bei teilweiser Gutheissung des Rekurses sind die Kosten anteilmässig aufzuteilen (§ 189 Abs. 1 StG).</w:t>
      </w:r>
    </w:p>
    <w:p>
      <w:r>
        <w:rPr>
          <w:b/>
        </w:rPr>
        <w:t>E. 7.1.2</w:t>
      </w:r>
    </w:p>
    <w:p>
      <w:r>
        <w:t>Werden im Rekursverfahren über die Einsprachebegehren hinausgehende Anträge gestellt, sind die Kosten des Rekursverfahrens unabhängig vom materiellen Ausgang des Verfahrens praxisgemäss den Antragstellern zu überbinden (SGE vom 25. Mai 2023 [3-RV.2022.74]).</w:t>
      </w:r>
    </w:p>
    <w:p>
      <w:r>
        <w:rPr>
          <w:b/>
        </w:rPr>
        <w:t>E. 7.1.3</w:t>
      </w:r>
    </w:p>
    <w:p>
      <w:r>
        <w:t>Die Rückweisung mit offenem Ausgang gilt als Obsiegen der Rekurrenten (SGE vom 29. August 2024 [3-RV.2022.137]).</w:t>
      </w:r>
    </w:p>
    <w:p>
      <w:r>
        <w:rPr>
          <w:b/>
        </w:rPr>
        <w:t>E. 7.1.4</w:t>
      </w:r>
    </w:p>
    <w:p>
      <w:r>
        <w:t>Bei einer zahlenmässigen Gewichtung der gestellten Anträge hätten die Rekurrenten beim vorliegenden Verfahrensausgang knapp 2 % der Kosten des Rekursverfahrens zu tragen. Das ist zu geringfügig, um bei der Kos- tenverlegung berücksichtigt zu werden (vgl. SGE vom 23. April 2015 [3-RV.2014.91]). Die Verfahrenskosten sind daher vollumfänglich auf die Staatskasse zu nehmen.</w:t>
      </w:r>
    </w:p>
    <w:p>
      <w:r>
        <w:rPr>
          <w:b/>
        </w:rPr>
        <w:t>E. 7.2</w:t>
      </w:r>
    </w:p>
    <w:p>
      <w:r>
        <w:t>Den nicht vertretenen Rekurrenten ist keine Parteikostenentschädigung auszurichten (§ 189 Abs. 2 StG).</w:t>
      </w:r>
    </w:p>
    <w:p>
      <w:r>
        <w:t>- 9 - Das Gericht erkennt: 1. Der Einspracheentscheid vom 16. Mai 2024 wird betreffend die Rechnung der F._____ 6. März 2021 von CHF 32'388.20 aufgehoben und die Angelegenheit zur Fällung eines neuen Einspracheentscheides im Sinne der Erwägungen an die Steuerkommission Q._____ zurückgewiesen. 2. Die Rechnung der F._____ GmbH vom 11. April 2021 von CHF 303.05 und die Quittung von G._____ vom 4. Oktober 2021 von CHF 119.30 stellen abzugsfähigen Liegenschaftsunterhalt dar. 3. Die Kosten des Rekursverfahrens trägt der Staat. 4.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19. Dezember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