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3-RV.2024.31 vom 26. Juni 2025</w:t>
      </w:r>
    </w:p>
    <w:p>
      <w:r>
        <w:t>Ag Spezialverwaltungsgericht, 2025-06-26, DE</w:t>
      </w:r>
    </w:p>
    <w:p>
      <w:r>
        <w:rPr>
          <w:b/>
        </w:rPr>
        <w:t xml:space="preserve">Quelle: </w:t>
      </w:r>
      <w:r>
        <w:t>https://mcp.opencaselaw.ch/entscheid/ag_spezialverwaltungsgericht_3-RV.2024.31</w:t>
      </w:r>
    </w:p>
    <w:p>
      <w:r>
        <w:t>FR: AG_SPEZIALVERWALTUNGSGERICHT 3-RV.2024.31 du 26 juin 2025</w:t>
      </w:r>
    </w:p>
    <w:p>
      <w:r>
        <w:t>IT: AG_SPEZIALVERWALTUNGSGERICHT 3-RV.2024.31 del 26 giugno 2025</w:t>
      </w:r>
    </w:p>
    <w:p>
      <w:pPr>
        <w:pStyle w:val="Heading2"/>
      </w:pPr>
      <w:r>
        <w:t>Erwägungen</w:t>
      </w:r>
    </w:p>
    <w:p>
      <w:r>
        <w:rPr>
          <w:b/>
        </w:rPr>
        <w:t>E. 6.1</w:t>
      </w:r>
    </w:p>
    <w:p>
      <w:r>
        <w:t>Eine Ermessensveranlagung hat pflichtgemäss zu sein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t>- 16 -</w:t>
      </w:r>
    </w:p>
    <w:p>
      <w:r>
        <w:rPr>
          <w:b/>
        </w:rPr>
        <w:t>E. 6.2.1</w:t>
      </w:r>
    </w:p>
    <w:p>
      <w:r>
        <w:t>Die Steuerkommission Q._____ hat das Einkommen aus selbständiger Er- werbstätigkeit infolge des Untersuchungsnotstands ermessensweise auf CHF 90'000.00 festgelegt. Auf welcher Grundlage diese Schätzung erfolgt ist, lässt sich dem Einspracheentscheid nicht entnehmen. Jedoch hat die Steuerkommission Q._____ in der Abweichungsbegründung zur Veranla- gung den Gesamtumsatz aufgrund der Aufzeichnungen des Rekurrenten mit CHF 919'200.00 berechnet.</w:t>
      </w:r>
    </w:p>
    <w:p>
      <w:r>
        <w:rPr>
          <w:b/>
        </w:rPr>
        <w:t>E. 6.2.2</w:t>
      </w:r>
    </w:p>
    <w:p>
      <w:r>
        <w:t>Wäre der Bruttogewinn des Unternehmens auf CHF 90'000.00 festgelegt worden, so wäre dies bei einem Umsatz von CHF 919'200.00 mit einer Bruttogewinnmarge von rund 10 % einher gegangen, was im Occasions- handel ein hoher Wert ist (vgl. https://www.figas.ch/de/publikationen/viele- garagisten-muessen-sich-diese-frage-kuenftig-stellen/ mit einer Übersicht der Bruttogewinnmargen im Occasionshandel zwischen Anfang 2019 mit</w:t>
      </w:r>
    </w:p>
    <w:p>
      <w:r>
        <w:rPr>
          <w:b/>
        </w:rPr>
        <w:t>E. 6.2.3</w:t>
      </w:r>
    </w:p>
    <w:p>
      <w:r>
        <w:t>Aufgrund der nicht ordnungsgemässen Buchhaltung, des fehlenden Kas- senbuchs trotz oftmals bar abgewickelter Geschäfte, der fehlenden Sicht- barkeit der eingegangenen Vermittlungsgebühr, der auf dem Geschäfts- konto eingegangenen Kaufpreiszahlungen bezüglich der 128 Fahrzeuge, der im Veranlagungsverfahren eingereichten Kaufverträge sowie der nicht überprüfbaren Einkaufspreise der an die C._____ SA weiterverkauften Fahrzeuge ist es gerechtfertigt, den Rekurrenten als Zwischenhändler für alle gehandelten Fahrzeuge anzusehen. Aus den gleichen Gründen blei- ben die geltend gemachte Vermittlungsgebühr sowie die aus dem Diffe- renzgeschäft Ankauf-Verkauf der 35 Fahrzeuge gemäss Angaben des Re- kurrenten erwirtschafteten Einkünfte für die Gewinnberechnung unbeacht- lich. Stattdessen ist der steuerlich relevante Unternehmenserfolg des Re- kurrenten gestützt auf seine Umsatzzahlen sowie Kennzahlen der Automo- bilbranche festzulegen.</w:t>
      </w:r>
    </w:p>
    <w:p>
      <w:r>
        <w:rPr>
          <w:b/>
        </w:rPr>
        <w:t>E. 6.2.4</w:t>
      </w:r>
    </w:p>
    <w:p>
      <w:r>
        <w:t>Den Umsatz, den der Rekurrent mit seinem Autohandel erzielt hat, hat die Steuerkommission Q._____ in der Abweichungsbegründung mit CHF 919'200.00 korrekt berechnet. Aus den Aufzeichnungen des Rekur-</w:t>
      </w:r>
    </w:p>
    <w:p>
      <w:r>
        <w:t>- 17 - renten ergibt sich, dass Fahrzeuge zum Gesamtpreis von CHF 626'650.00 an die C._____ SA weiterverkauft und daneben weitere 35 Fahrzeuge im Gesamtbetrag von CHF 292'550.00 verkauft worden sein sollen. Bei einer Bruttogewinnmarge von 7.8 % hat der Rekurrent bei diesem Um- satz einen Bruttogewinn von rund CHF 71'700.00 erzielt. Angesichts der Unwägbarkeiten der eingereichten Unterlagen ist es gerechtfertigt, den ge- samten Aufwand auf CHF 15'000.00 festzulegen – dies entspricht in etwa zwei Dritteln des vom Rekurrenten im Rekurs geltend gemachten Auf- wands, der trotz Beweismittelausschluss bei der erneuten ermessenswei- sen Festlegung der Steuerfaktoren berücksichtigt werden kann (vgl. oben Erw. 5.1.4.). Gleichzeitig erfolgt ein 25 %iger Zuschlag von rund CHF 14'000.00, da aufgrund der nicht ordnungsgemässen Buchhaltung letztlich im Dunkeln bleibt, wie viele Transaktionen der Rekurrent mit seiner Einzelunternehmung tatsächlich abgewickelt hat. Insgesamt ist es vor die- sem Hintergrund gerechtfertigt, das Einkommen aus selbständiger Er- werbstätigkeit auf rund CHF 70'000.00 (CHF 71'700.00 ./. CHF 15'000.00 + CHF 14'000.00) festzulegen.</w:t>
      </w:r>
    </w:p>
    <w:p>
      <w:r>
        <w:rPr>
          <w:b/>
        </w:rPr>
        <w:t>E. 6.4</w:t>
      </w:r>
    </w:p>
    <w:p>
      <w:r>
        <w:t>% und Ende 2022 mit 9.1 %). Da der Bruttogewinn über dem steuerba- ren Reingewinn liegt, wurde im Einspracheentscheid mit der Festlegung des Geschäftsergebnisses auf CHF 90'000.00 eine noch höhere Bruttoge- winnmarge angenommen, die im Jahr 2021 klarerweise nicht erreicht wurde (vgl. https://www.agvs-upsa.ch/de/news/news-archiv/welche-kenn- zahl-am-meisten-ueberrascht wonach die Bruttogewinnmarge im Occasi- onshandel im Jahr 2021 bei durchschnittlich 7.8 % lag). Die Gewinnschät- zung ist deshalb zu korrigieren.</w:t>
      </w:r>
    </w:p>
    <w:p>
      <w:r>
        <w:rPr>
          <w:b/>
        </w:rPr>
        <w:t>E. 7</w:t>
      </w:r>
    </w:p>
    <w:p>
      <w:r>
        <w:t>Zusammenfassend hat die Steuerkommission Q._____ die Ermessensver- anlagung zu Recht vorgenommen. Der Rekurrent hat den Nachweis der offensichtlichen Unrichtigkeit der Ermessensveranlagung im Einsprache- verfahren nicht erbracht. Die im Rekurs beigebrachten Unterlagen fallen unter den Beweismittelausschluss. Das ermessensweise festgelegte Ein- kommen aus selbständiger Erwerbstätigkeit ist von CHF 90'000.00 auf CHF 70'000.00 zu senken. Damit ist der Rekurs teilweise gutzuheissen. Das steuerbare Einkommen des Rekurrenten gemäss Einspracheentscheid von CHF 108'541.00 sinkt um CHF 20'000.00 auf CHF 88'541.00, gerundet CHF 88'500.00.</w:t>
      </w:r>
    </w:p>
    <w:p>
      <w:r>
        <w:rPr>
          <w:b/>
        </w:rPr>
        <w:t>E. 8.1</w:t>
      </w:r>
    </w:p>
    <w:p>
      <w:r>
        <w:t>Gemäss § 189 Abs. 1 StG werden die Kosten des Rekursverfahrens der unterliegenden Partei auferlegt. Bei teilweiser Gutheissung des Rekurses sind die Kosten anteilsmässig aufzuteilen.</w:t>
      </w:r>
    </w:p>
    <w:p>
      <w:r>
        <w:rPr>
          <w:b/>
        </w:rPr>
        <w:t>E. 8.2</w:t>
      </w:r>
    </w:p>
    <w:p>
      <w:r>
        <w:t>Der Rekurrent obsiegt gemessen an seinen Anträgen zu rund 25 %. Er hat daher 75 % der Kosten des Rekursverfahrens zu tragen (§ 189 Abs. 1 StG). Der Rest wird auf die Staatskasse genommen.</w:t>
      </w:r>
    </w:p>
    <w:p>
      <w:r>
        <w:rPr>
          <w:b/>
        </w:rPr>
        <w:t>E. 8.3</w:t>
      </w:r>
    </w:p>
    <w:p>
      <w:r>
        <w:t>Nicht vertretenen Rekurrenten wird keine Parteientschädigung ausgerich- tet (§ 189 Abs. 2 StG).</w:t>
      </w:r>
    </w:p>
    <w:p>
      <w:r>
        <w:t>- 18 - Das Gericht erkennt: 1. In teilweiser Gutheissung des Rekurses wird das steuerbare Einkommen auf CHF 88'500.00 festgesetzt. 2. Der Rekurrent hat die Verfahrenskosten, bestehend aus einer Staatsge- bühr von CHF 1'500.00, der Kanzleigebühr von CHF 210.00 und den Aus- lagen von CHF 100.00, insgesamt CHF 1'810.00 zu 75 % mit CHF 1'357.50 zu bezahlen. Der Rest wird auf die Staatskasse genommen.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26. Juni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