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3-RV.2024.3 vom 21. November 2024</w:t>
      </w:r>
    </w:p>
    <w:p>
      <w:r>
        <w:t>Ag Spezialverwaltungsgericht, 2024-11-21, DE</w:t>
      </w:r>
    </w:p>
    <w:p>
      <w:r>
        <w:rPr>
          <w:b/>
        </w:rPr>
        <w:t xml:space="preserve">Quelle: </w:t>
      </w:r>
      <w:r>
        <w:t>https://mcp.opencaselaw.ch/entscheid/ag_spezialverwaltungsgericht_3-RV.2024.3</w:t>
      </w:r>
    </w:p>
    <w:p>
      <w:r>
        <w:t>FR: AG_SPEZIALVERWALTUNGSGERICHT 3-RV.2024.3 du 21 novembre 2024</w:t>
      </w:r>
    </w:p>
    <w:p>
      <w:r>
        <w:t>IT: AG_SPEZIALVERWALTUNGSGERICHT 3-RV.2024.3 del 21 novembre 2024</w:t>
      </w:r>
    </w:p>
    <w:p>
      <w:pPr>
        <w:pStyle w:val="Heading2"/>
      </w:pPr>
      <w:r>
        <w:t>Erwägungen</w:t>
      </w:r>
    </w:p>
    <w:p>
      <w:r>
        <w:rPr>
          <w:b/>
        </w:rPr>
        <w:t>E. 01</w:t>
      </w:r>
    </w:p>
    <w:p>
      <w:r>
        <w:t>März 2020 mit einem Arbeitspensum von 40 %. Dieses Arbeitspensum ist auf die folgenden Tage aufgeteilt: Dienstag-Vormit- tag, Mittwoch ganzer Tag sowie Donnerstag-Vormittag. Die Kinderbetreuung ist somit für 3 Tage zu regeln, wobei bei der KITA immer volle Tagesansätze verrechnet werden (also total 60 % eines Wochenpen- sums). Wenn nun im System das Arbeitspensum von 40 % eingegeben wird, wird au- tomatisch nur 40 % des bereits auf 10 Monate gekürzten Abzuges berechnet. Dies entspricht jedoch nicht den tatsächlichen Verhältnissen, da Entschädigun- gen für 3 Tage zu leisten sind. (…)</w:t>
      </w:r>
    </w:p>
    <w:p>
      <w:r>
        <w:t>- 10 - Frage: Ist nun beim Arbeitspensum 60 % mit einer entsprechenden Begründung ein- zugeben, damit der Abzug entsprechend den tatsächlichen Verhältnissen für die Betreuung von 3 Tagen berücksichtigt werden kann? (…)" 4.12.4. Der Vorsteher-Stellvertreter des Regio Steueramtes S._____ antwortete auf diese Anfrage am 26. April 2021 per E-Mail wie folgt: "(…) Ich würde Ihnen vorschlagen mit 60 % einzutragen und eine entsprechende Bemerkung zu setzen, resp. der Steuererklärung beizulegen. Dann kann das Ganze mit der Steuererklärung geprüft werden. (…)" 4.12.5. Die Vorinstanz hat dem Vertreter keine konkrete Auskunft dahingehend er- teilt, dass vorliegend CHF 6'000.00 (60 % von CHF 10'000.00) als Kinder- betreuungskosten abgezogen werden können. Vielmehr schlug die Vor- instanz lediglich vor, unter Anbringung einer Bemerkung 60 % als Arbeits- pensum einzutragen, und stellte in Aussicht, dass das Ganze mit der Steu- ererklärung geprüft werde. Zudem bezog sich die Anfrage auf die Steuer- erklärung 2020 und damit nicht auf die vorliegend strittige Steuerperiode 2021. Für die Annahme des Vertrauensschutzes fehlt es demzufolge be- reits an der ersten Voraussetzung. 4.13. Der Rekurs erweist sich somit als unbegründet und ist abzuweisen.</w:t>
      </w:r>
    </w:p>
    <w:p>
      <w:r>
        <w:rPr>
          <w:b/>
        </w:rPr>
        <w:t>E. 5</w:t>
      </w:r>
    </w:p>
    <w:p>
      <w:r>
        <w:t>Bei diesem Verfahrensausgang haben die Rekurrenten die Kosten des Re- kursverfahrens zu tragen (§ 189 Abs. 1 StG). Es ist keine Parteikostenent- schädigung auszurichten (§ 189 Abs. 2 StG).</w:t>
      </w:r>
    </w:p>
    <w:p>
      <w:r>
        <w:t>- 11 - Das Gericht erkennt: 1. Der Rekurs wird abgewiesen. 2. Die Rekurrenten haben die Verfahrenskosten, bestehend aus einer Staats- gebühr von CHF 300.00, der Kanzleigebühr von CHF 145.00 und den Aus- lagen von CHF 100.00, zusammen CHF 545.00, unter solidarischer Haft- barkeit zu bezahlen. 3. Es wird keine Parteikostenentschädigung ausgerichtet. Zustellung an: den Vertreter der Rekurrenten (2) das Kantonale Steueramt das Regio Steueramt S._____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21. November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