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3-RV.2023.82 vom 23. Mai 2024</w:t>
      </w:r>
    </w:p>
    <w:p>
      <w:r>
        <w:t>Ag Spezialverwaltungsgericht, 2024-05-23, DE</w:t>
      </w:r>
    </w:p>
    <w:p>
      <w:r>
        <w:rPr>
          <w:b/>
        </w:rPr>
        <w:t xml:space="preserve">Quelle: </w:t>
      </w:r>
      <w:r>
        <w:t>https://mcp.opencaselaw.ch/entscheid/ag_spezialverwaltungsgericht_3-RV.2023.82</w:t>
      </w:r>
    </w:p>
    <w:p>
      <w:r>
        <w:t>FR: AG_SPEZIALVERWALTUNGSGERICHT 3-RV.2023.82 du 23 mai 2024</w:t>
      </w:r>
    </w:p>
    <w:p>
      <w:r>
        <w:t>IT: AG_SPEZIALVERWALTUNGSGERICHT 3-RV.2023.82 del 23 maggio 2024</w:t>
      </w:r>
    </w:p>
    <w:p>
      <w:pPr>
        <w:pStyle w:val="Heading2"/>
      </w:pPr>
      <w:r>
        <w:t>Erwägungen</w:t>
      </w:r>
    </w:p>
    <w:p>
      <w:r>
        <w:rPr>
          <w:b/>
        </w:rPr>
        <w:t>E. 8.1</w:t>
      </w:r>
    </w:p>
    <w:p>
      <w:r>
        <w:t>Eine Ermessensveranlagung hat pflichtgemäss zu sein (§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grösser ist, je grösser die Ungewissheit über die tat- sächlichen Verhältnisse ist. Bei der Ermessensbetätigung darf die Veran- lagungsbehörde eher zu hoch gehen, um zu vermeiden, dass derjenige Steuerpflichtige, welcher für die Überprüfbarkeit seiner steuerlichen Ver-</w:t>
      </w:r>
    </w:p>
    <w:p>
      <w:r>
        <w:t>- 27 - hältnisse Sorge getragen hat, höhere Steuern bezahlen muss als derjenige, bei welchem eine Nachprüfung unmöglich ist (Kommentar zum Aargauer Steuergesetz, a.a.O., § 191 StG N 25 f., mit Hinweisen).</w:t>
      </w:r>
    </w:p>
    <w:p>
      <w:r>
        <w:rPr>
          <w:b/>
        </w:rPr>
        <w:t>E. 8.2</w:t>
      </w:r>
    </w:p>
    <w:p>
      <w:r>
        <w:t>Das Gemeindesteueramt S._____ hat im Veranlagungsverfahren ein Ein- kommensmanko von CHF 37'959.00 festgestellt, dass nur unwesentlich auf CHF 37'479.00 zu korrigieren war (vgl. oben Erw. 6.2.6.). In der Abwei- chungsbegründung verweist die Steuerkommission S._____ auf den not- leidenden Vermögensvergleich und die mit CHF 60'000.00 angedrohte er- messensweise Aufrechnung. Ebenso wird erklärt, weshalb die von den Re- kurrenten verlangten Änderungen im Vermögensvergleich nicht umgesetzt wurden. Weshalb der Betrag der Aufrechnung auf CHF 60'000.00 festge- setzt wurde, obwohl der Vermögensvergleich ein weitaus geringeres Ein- kommensmanko auswies, lässt sich der Abweichungsbegründung nicht entnehmen. Ferner wird in der Abweichungsbegründung dargelegt, dass der Betrag unter Ziffer 2.1 als Einkommen aus selbständiger Tätigkeit des Rekurrenten aufgerechnet werde, was nicht begründet wird. Auch im Einspracheentscheid wird die Aufrechnung mit dem notleidenden Vermögensvergleich begründet und insbesondere auf den nicht (genü- gend) belegten Haushaltsbeitrag seitens der Kinder hingewiesen. Wie sich der aufgerechnete Betrag von CHF 60'000.00 zusammensetzt, wird nicht erläutert.</w:t>
      </w:r>
    </w:p>
    <w:p>
      <w:r>
        <w:rPr>
          <w:b/>
        </w:rPr>
        <w:t>E. 8.3</w:t>
      </w:r>
    </w:p>
    <w:p>
      <w:r>
        <w:t>Die Prüfung des Vermögensvergleichs ist bereits oben vorgenommen wor- den (vgl. Erw. 6.2.). Daraus ergibt sich ein Einkommensmanko von CHF 37'479.00. Der Geschäftsabschluss der selbständigen Tätigkeit des Rekurrenten ergab einen Gewinn von CHF 327.00. Dieser Gewinn wurde in der Steuererklärung deklariert. Die Steuerkommission S._____ hat den Geschäftsabschluss der selbständigen Tätigkeit nicht beanstandet und be- gründet ihre Aufrechnung allein mit dem notleidenden Vermögensver- gleich. Vor diesem Hintergrund ist nicht ersichtlich, weshalb die Steuerkom- mission S._____ eine Aufrechnung von CHF 60'000.00 vorgenommen hat. Stattdessen ist die Höhe der Aufrechnung aus dem Einkommensmanko abzuleiten. Bei einem Einkommensmanko von CHF 37'479.00 ergibt sich (abgerundet) eine Aufrechnung von CHF 33'000.00. Damit ist der Rekurs teilweise gutzuheissen.</w:t>
      </w:r>
    </w:p>
    <w:p>
      <w:r>
        <w:rPr>
          <w:b/>
        </w:rPr>
        <w:t>E. 9</w:t>
      </w:r>
    </w:p>
    <w:p>
      <w:r>
        <w:t>Zusammenfassend sind die formellen Rügen der Rekurrenten unbegrün- det. Die Eigenmietwerte (Wohnung und Garage) der Liegenschaft Q- Strasse 27 in R._____ sind zu besteuern. Die Steuerkommission S._____ hat die teilweise Ermessensveranlagung zu Recht vorgenommen und den Rekurrenten ist es im Einspracheverfahren nicht gelungen, die offensichtli-</w:t>
      </w:r>
    </w:p>
    <w:p>
      <w:r>
        <w:t>- 28 - che Unrichtigkeit der Ermessensveranlagung nachzuweisen. Jedoch wird die Aufrechnung mit dem im Wesentlichen korrekt berechneten Einkom- mensmanko aus dem Vermögensvergleich begründet und ist deshalb auch an diesen Betrag anzulehnen. Die ermessensweise Aufrechnung ist somit von CHF 60'000.00 auf CHF 33'000.00 zu senken. Das steuerbare Einkommen der Rekurrenten sinkt von CHF 69'649.00 auf CHF 42'649.00, gerundet CHF 42'600.00. Der Rekurs ist teilweise gutzu- heissen.</w:t>
      </w:r>
    </w:p>
    <w:p>
      <w:r>
        <w:rPr>
          <w:b/>
        </w:rPr>
        <w:t>E. 10.1</w:t>
      </w:r>
    </w:p>
    <w:p>
      <w:r>
        <w:t>Gemäss § 189 Abs. 1 StG werden die Kosten des Rekursverfahrens der unterliegenden Partei auferlegt. Bei teilweiser Gutheissung des Rekurses sind die Kosten anteilsmässig aufzuteilen.</w:t>
      </w:r>
    </w:p>
    <w:p>
      <w:r>
        <w:rPr>
          <w:b/>
        </w:rPr>
        <w:t>E. 10.2</w:t>
      </w:r>
    </w:p>
    <w:p>
      <w:r>
        <w:t>Die Rekurrenten obsiegen gemessen an ihren Anträgen zu 65 %. Sie ha- ben daher 35 % der Kosten des Rekursverfahrens zu tragen (§ 189 Abs. 1 StG). Der Rest wird auf die Staatskasse genommen.</w:t>
      </w:r>
    </w:p>
    <w:p>
      <w:r>
        <w:rPr>
          <w:b/>
        </w:rPr>
        <w:t>E. 10.3</w:t>
      </w:r>
    </w:p>
    <w:p>
      <w:r>
        <w:t>Nicht vertretenen Rekurrenten wird keine Parteientschädigung ausgerich- tet (§ 189 Abs. 2 StG).</w:t>
      </w:r>
    </w:p>
    <w:p>
      <w:r>
        <w:t>- 29 - Das Gericht erkennt: 1. In teilweiser Gutheissung des Rekurses wird das steuerbare Einkommen auf CHF 42'600.00 festgesetzt. 2. Die Rekurrenten haben die Kosten des Rekursverfahrens, bestehend aus einer Staatsgebühr von CHF 500.00, der Kanzleigebühr von CHF 330.00 und den Auslagen von CHF 100.00, insgesamt CHF 930.00, zu 35 % mit CHF 325.50 zu bezahlen. Der Rest wird auf die Staatskasse genommen 3. Es wird keine Parteientschädigung ausgerichtet. Zustellung an: die Rekurrenten das Kantonale Steueramt das Gemeindesteueramt S._____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w:t>
      </w:r>
    </w:p>
    <w:p>
      <w:r>
        <w:rPr>
          <w:b/>
        </w:rPr>
        <w:t>E. 15</w:t>
      </w:r>
    </w:p>
    <w:p>
      <w:r>
        <w:t>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- 30 - Aarau, 23. Mai 2024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