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3-RV.2023.52 vom 21. März 2024</w:t>
      </w:r>
    </w:p>
    <w:p>
      <w:r>
        <w:t>Ag Spezialverwaltungsgericht, 2024-03-21, DE</w:t>
      </w:r>
    </w:p>
    <w:p>
      <w:r>
        <w:rPr>
          <w:b/>
        </w:rPr>
        <w:t xml:space="preserve">Quelle: </w:t>
      </w:r>
      <w:r>
        <w:t>https://mcp.opencaselaw.ch/entscheid/ag_spezialverwaltungsgericht_3-RV.2023.52</w:t>
      </w:r>
    </w:p>
    <w:p>
      <w:r>
        <w:t>FR: AG_SPEZIALVERWALTUNGSGERICHT 3-RV.2023.52 du 21 mars 2024</w:t>
      </w:r>
    </w:p>
    <w:p>
      <w:r>
        <w:t>IT: AG_SPEZIALVERWALTUNGSGERICHT 3-RV.2023.52 del 21 marzo 2024</w:t>
      </w:r>
    </w:p>
    <w:p>
      <w:pPr>
        <w:pStyle w:val="Heading2"/>
      </w:pPr>
      <w:r>
        <w:t>Erwägungen</w:t>
      </w:r>
    </w:p>
    <w:p>
      <w:r>
        <w:rPr>
          <w:b/>
        </w:rPr>
        <w:t>E. 29</w:t>
      </w:r>
    </w:p>
    <w:p>
      <w:r>
        <w:t>September 2010 E. 2.2 mit zahlreichen Hinweisen auf Judikatur und Litera- tur). In diesem Urteil entschied das Bundesgericht, dass eine vorzeitig pensio- nierte Person auf ihrem Renteneinkommen aus einer Einrichtung der beruf- lichen Vorsorge keine Beiträge an die gebundene Selbstvorsorge abziehen kann. Was aber für Leistungen aus Altersvorsorge rechtens ist, gilt gleicher- massen für Leistungen bei Invalidität: Denn es ist nicht Sinn und Zweck der Ausrichtung von Vorsorgeleistungen gleich welcher Art, dass darauf noch eine - steuerlich begünstigte - Zusatzvorsorge aufgebaut werden kann. Die Be- schwerdeführerin, die eine halbe IV-Rente aus der 1. und 2. Säule bezieht, kann mithin darauf nicht Beiträge an die Säule 3a abziehen. 2.3 Was die Beschwerdeführer dagegen vorbringen, überzeugt nicht: 2.3.1 Nach ihrem Dafürhalten wird der Begriff der Erwerbstätigkeit 'formalistisch eng' ausgelegt. Das hier vorliegende 'Ersatzeinkommen' sei gleichfalls darunter zu subsumieren. Wie bereits die Vorinstanzen zutreffend ausgeführt haben, stellen IV-Renten nicht Erwerbsersatzeinkommen dar. Anknüpfungspunkt für die Ausrichtung von IV-Leistungen stellt grundsätzlich nicht die fehlende Er- werbstätigkeit dar, sondern eine bestimmte körperliche, geistige oder psychi- sche Beeinträchtigung der Gesundheit (vgl. Art. 8 ATSG; SR 830.1). Dement- sprechend kommen auch Nicht-Erwerbstätige in den Genuss von IV-Leistun- gen (Art. 28 IVG; SR 831.20). Daran ändert auch nichts, dass für die Berech-</w:t>
      </w:r>
    </w:p>
    <w:p>
      <w:r>
        <w:t>- 8 - nung der IV-Rente ein tatsächliches oder hypothetisches Einkommen herange- zogen wird. 2.3.2 Weiter rügen sie, dass das für das hier strittige Steuerjahr noch anwend- bare Kreisschreiben Nr. 2 der Eidgenössischen Steuerverwaltung vom 31. Ja- nuar 1986 betreffend die Verordnung über die steuerliche Abzugsberechtigung für Beiträge an anerkannte Vorsorgeformen (in: ASA 54, 519; nachfolgend: Kreisschreiben Nr. 2) rechtswidrig sei, soweit es IV-Renten von der Beitrags- leistung ausschliesse. Nach Ziff. 5 lit. a und d des Kreisschreibens Nr. 2 kann auf dauernden Leistun- gen der Invalidenversicherung kein Beitrag an die Säule 3a geleistet werden. Diese Konkretisierung durch die Eidgenössische Steuerverwaltung, an welche sich die Zürcher Steuerbehörden auch für die Staats- und Gemeindesteuer hal- ten, entspricht genau den gesetzlichen Vorgaben (vgl. oben E. 2.1). Es liegt deshalb keine Bundesrechtsverletzung vor. Auch das Kreisschreiben Nr. 18 der Eidgenössischen Steuerverwaltung vom 17. Juli 2008 betreffend die steuerliche Behandlung von Vorsorgebeiträgen und -leistungen der Säule 3a (siehe dazu: http://www.estv.admin.ch/ bundessteuer/dokumentation/00242/00380/index. html?lang=de; besucht am 10.1.2011), welches dessen Vorfassung vom 4. Ok- tober 2007 und dieses das Kreisschreiben Nr. 2 ersetzte, regelt unter Ziff. 5.6 lit. c die strittige Frage für IV-Bezüger nun noch klarer: 'Vorsorgenehmer, die zwar eine Invalidenrente der eidgenössischen Invalidenversicherung beziehen, jedoch im Rahmen der Resterwerbstätigkeit ein der AHV/IV-Pflicht unterliegen- des Erwerbseinkommen erzielen, können eine Säule 3a bilden'. Danach kön- nen Beiträge an die Säule 3a nur für die Resterwerbstätigkeit auf dem der AHV/IV unterliegenden Erwerbseinkommen abgezogen werden. Genau in die- sem Sinne gingen die Zürcher Steuerbehörden vor, was mithin nicht zu bean- standen ist. (…)" 3.2. Unbestritten ist, dass die Rekurrentin im Jahr 2020 keiner Vorsorgeeinrich- tung nach Art. 80 BVG angehörte und im Zusammenhang mit ihrem Er- werbseinkommen als [...] CHF 1'788.00 (20 % von CHF 8'941.00) als Beiträge an die Säule 3a abziehen kann. Im Weiteren gehen die Parteien übereinstimmend davon aus, dass die Abfindung von netto CHF 159'172.25 auf das Arbeitsverhältnis der Rekurrentin mit der Ge- meinde Q._____ bzw. auf deren [...] zurückzuführen ist und daher eine Einkunft aus unselbstständiger Erwerbstätigkeit darstellt. Strittig ist hingegen ist, ob diesem Einkommen im Jahr 2020 eine Erwerbstätigkeit zugrunde lag. Die Vorinstanz verneint dies, da die Rekurrentin per tt.mm.2019 als [...] von Q._____ zurücktrat. 3.3. 3.3.1. Das Kantonale Steueramt beantragt, dass auf den Rekurs mangels Be- gründung nicht einzutreten sei.</w:t>
      </w:r>
    </w:p>
    <w:p>
      <w:r>
        <w:t>- 9 - 3.3.2. Der Rekurs muss einen Antrag und eine Begründung enthalten (§ 196 Abs. 2 Satz 1 StG). Auf einen Rekurs, der diesen Anforderungen nicht ent- spricht, wird nicht eingetreten (§ 196 Abs. 3 Satz 1 StG). 3.3.3. Der Vertreter der Rekurrentin (nachfolgend Vertreter) führt im Rekurs zu- sammengefasst aus, dass die Rekurrentin im Steuerjahr 2020 als [...] einer Erwerbstätigkeit nachgegangen und einer AHV-Pflicht unterstanden sei. Selbst wenn ein vorübergehender Unterbruch der Erwerbstätigkeit vorläge, bliebe die Abzugsberechtigung gemäss einhelliger Lehrmeinung und Kreisschreiben Nr. 18 der ESTV vom 17 Juli 2008 betreffend "Steuerliche Behandlung von Vorsorgebeiträgen und -leistungen der Säule 3a" (nachfolgend KS Nr. 18) erhalten. Gemäss bundesgerichtlicher Recht- sprechung entfalle die Berechtigung zur Beitragsleistung mit steuerlicher Begünstigung erst bei definitiver Aufgabe der Erwerbstätigkeit. Im Weiteren macht der Vertreter geltend, dass die Einkünfte der Gemeinde Q._____ ihre Grundlage in einem Arbeitsverhältnis hätten und daher den Charakter von Erwerbseinkommen aufwiesen. Sodann bringt der Vertreter vor, dass der beantragte Abzug von CHF 33'250.00 unterhalb des zulässigen Maxi- malbetrags von CHF 34'128.00 (40 % von CHF 85'320.00 [oberer Grenz- betrag gemäss Art. 8 Abs. 1 BVG, Stand 1. Januar 2020]) liege, und dass die Vorsorgestiftung Sparen 3 der B._____ als Bankstiftung eine anerkannte Vorsorgeform für die gebundene Selbstvorsorge im Sinne von Art. 1 BVV 3 darstelle. Der angefochtene Einspracheentscheid der Steuerkommission Q._____ verletze somit § 40 Abs. 1 lit. e StG i.V.m. Art. 82 BVG und Art. 7 Abs. 1 lit. b BVV3 und sei deshalb aufzuheben. 3.3.4. Angesichts dieser Ausführungen ist nicht nachvollziehbar, weshalb das Kantonale Steueramt den Rekurs als ungenügend begründet einstuft. Auf den Rekurs ist daher einzutreten. 3.4. Das Bundesgericht führt im Urteil vom 24. Januar 2011 (2C_679/2010) aus, dass die Beschwerdeführerin im Zusammenhang mit dem Einkommen aus ihrer Arbeit auf Teilzeitbasis in einer Anwaltskanzlei Beiträge an die Säule 3a abziehen könne, jedoch nicht hinsichtlich ihres Einkommens aus einer halben IV-Rente der 1. und 2. Säule, da Letzteres nicht aus einer Erwerbs- tätigkeit stamme (E. 3.1.4.). Daraus folgt, dass mit Blick auf die Abzugs- fähigkeit von Beiträgen an die Säule 3a das Kriterium der Erwerbstätigkeit in Bezug auf jedes Einkommen einzeln zu prüfen ist. Deshalb kann – ent- gegen der Ansicht des Vertreters – aus dem Umstand, dass die Erwerbs- tätigkeit der Rekurrentin mit Blick auf deren [...] im Jahr 2020 unbestritten gegeben ist, nicht auf deren Erwerbstätigkeit im Zusammenhang mit der Abfindung von netto CHF 159'172.25 geschlossen werden.</w:t>
      </w:r>
    </w:p>
    <w:p>
      <w:r>
        <w:t>- 10 - 3.5. 3.5.1. Der Vorinstanz ist insofern zuzustimmen, als dass die Rekurrentin zufolge ihres Rücktritts als [...] per tt.mm.2019 in der Steuerperiode 2020 für die Gemeinde Q._____ nicht mehr aktiv tätig war und es diesbezüglich am Erfordernis der tatsächlichen Ausübung einer Erwerbstätigkeit fehlt. Allerdings hat sich das Bundesgericht nur dahingehend geäussert, dass die Möglichkeit der Beitragsleistung an die Säule 3a bei definitiver Aufgabe der Erwerbstätigkeit entfällt (E. 3.1.3. f.). Die in der Steuerperiode 2020 aaa- bzw. bbb-jährige Rekurrentin war noch nicht in einem Alter, für welches das Gesetz den vorzeitigen Altersrücktritt zulässt. Gemäss Art. 1i Abs. 1 der Verordnung über die berufliche Alters-, Hinterlassenen- und Invalidenvorsorge vom 18. April 1984 (BVV 2) können die Reglemente der Vorsorgeeinrichtungen einen Altersrücktritt frühestens ab dem vollendeten 58. Altersjahr vorsehen. Hinzu kommt, dass die Rekurrentin im Jahr 2020 gemäss eigenen Angaben mit dem Aufbau eines (…)Beratungs- und Dienstleistungsunternehmens beschäftigt war und diesbezüglich im Jahr 2021 die C._____ AG gründete (vgl. Handelsregisterauszug). Bei der Rekurrentin kann daher trotz ihres Rücktritts als [...] von Q._____ per tt.mm.2019 im Umfang dieser Tätigkeit nicht von einer definitiven Aufgabe der Erwerbstätigkeit gesprochen werden. 3.5.2. Das Bundesgericht hatte bis anhin nicht darüber zu befinden, ob die Mög- lichkeit der Beitragsleistung an die Säule 3a bei einem vorübergehenden Unterbruch der Erwerbstätigkeit erhalten bleibt. Im Bundesgerichtsurteil vom 29. September 2010 (2C_326/2010) hielt es in E. 2.3 explizit fest, dass hier nicht zu entscheiden sei, wie es sich bei einem vorübergehenden Un- terbruch der Erwerbstätigkeit verhalte (E. 3.1.3.). 3.5.3. Gemäss KS Nr. 18 Ziff. 5.5. bleibt die Abzugsberechtigung bei vorüberge- hendem Unterbruch der Erwerbstätigkeit (Militärdienst, Mutterschaft, Ar- beitslosigkeit, Krankheit usw.) erhalten, sofern im entsprechenden Jahr für Erwerbseinkommen und/oder Erwerbsersatzeinkommen AHV/IV-Beiträge geleistet worden sind. Als Verwaltungsverordnung ist das KS Nr. 18 für die Gerichte rechtlich un- verbindlich. Von einer rechtmässigen Verwaltungsverordnung weichen die Gerichte indes nicht ohne triftigen Grund ab, sofern sie eine dem Einzelfall angepasste und gerecht werdende Auslegung der anwendbaren gesetzli- chen Bestimmungen zulässt und eine überzeugende Konkretisierung der gesetzlichen Vorgaben enthält (Bundesgerichtsurteil vom 15. April 2020 [2C_522/2018] E. 4.4.2.).</w:t>
      </w:r>
    </w:p>
    <w:p>
      <w:r>
        <w:t>- 11 - 3.5.4. Gemäss Lehre kann die Säule 3a bei vorübergehendem Unterbruch der Erwerbstätigkeit weitergeführt werden (Basler Kommentar zum DBG, 4. Auflage, Basel 2022, Art. 33 DBG N 27a; Peter Locher, Kommentar zum DBG, 2. Auflage, Basel 2019, Art. 33 DBG N 68; Handkommentar zum DBG, 3. Auflage, Zürich 2016, Art. 33 DBG N 113; Kommentar zum Aar- gauer Steuergesetz, 5. Auflage, Muri-Bern 2023, § 40 StG N 109; gemäss letzterer Lehrmeinung ergibt sich dies implizit daraus, dass ein der AHV- bzw. IV-Pflicht unterstelltes Ersatzeinkommen [z.B. Arbeitslosengelder, Krankentaggelder usw.] ebenfalls zum Abzug von Säule-3a-Beiträgen be- rechtige). Von einer dauernden Arbeitslosigkeit ist zu sprechen, wenn die steuerpflichtige Person ausgesteuert ist. Analog ist auch vorzugehen, wenn jemand unfallbedingt SUVA- und IV-Taggelder während einer vorüberge- henden Umschulungsphase (von ca. zwei Jahren) bezieht (Handkommen- tar zum DBG, a.a.O., Art. 33 DBG N 113). Bei vorzeitiger Pensionierung oder 100 %-iger Invalidität und fehlender Resterwerbstätigkeit liegt hinge- gen eine dauernde Aufgabe der Erwerbstätigkeit vor (Basler Kommentar zum DBG, a.a.O., Art. 33 DBG N 27a; E. 3.1.3. f.). 3.5.5. KS Nr. 18 Ziff. 5.5. sowie die dargelegte Lehre stellen eine dem Einzelfall angepasste und gerecht werdende Auslegung von Art. 7 Abs. 1 BVV 3 dar. Es ist nicht einzusehen, weshalb einer steuerpflichtigen Person unter den genannten Voraussetzungen eine Weiterführung der Säule 3a verwehrt werden soll. Andernfalls hätte eine oft ohne eigenes Verschulden vorüber- gehend nicht erwerbstätige Person Lücken in ihrer Vorsorge hinzunehmen, was sozialpolitisch bedenklich wäre. Zudem ist es konsequent und sach- gerecht, dass eine steuerpflichtige Person bei einem vorübergehenden Un- terbruch der Erwerbstätigkeit weiterhin Beiträge an die Säule 3a leisten kann, soweit auch ein Erwerbseinkommen bzw. Erwerbsersatzeinkommen besteuert wird. Schliesslich entspricht dies auch dem Wortlaut von Art. 7 Abs. 1 lit. b BVV 3 ("jährlich bis 20 Prozent des Erwerbseinkommens"). 3.5.6. Aus den gemachten Erwägungen folgt, dass die Rekurrentin im Zusam- menhang mit der Abfindung von netto CHF 159'172.25 trotz des diesbe- züglich vorübergehenden Unterbruchs der Erwerbstätigkeit Säule-3a-Bei- träge leisten kann, zumal es sich bei der genannten Abfindung unbestritten um ein Erwerbseinkommen (Einkommen aus unselbstständiger Erwerbstä- tigkeit) handelt, auf welchem AHV-Beiträge bezahlt wurden. 3.6. Die vorliegende Konstellation unterscheidet sich von jener, welche den Bundesgerichtsurteilen vom 29. September 2010 (2C_326/2010) und 24. Januar 2011 (2C_679/2010) zugrunde lag. In Letzteren fehlte es be- züglich der Rentenleistungen an einem Erwerbseinkommen (E. 3.1.3. f.).</w:t>
      </w:r>
    </w:p>
    <w:p>
      <w:r>
        <w:t>- 12 - Die Abfindung von netto CHF 159'172.25 stellt hingegen unbestritten kein Einkommen aus Vorsorge, sondern eine Einkunft aus unselbstständiger Er- werbstätigkeit dar. 3.7. 3.7.1. Die Vorinstanz führt in ihrer Vernehmlassung aus, dass die Abfindung der Gemeinde Q._____ aufgrund des per 30. tt.mm.2019 zu Ende gegangenen Arbeitsverhältnisses mit dem Jahr 2019 verbunden sei. Wäre diese richtigerweise noch im Jahr 2019 ausbezahlt worden, wäre diese Be- standteil des Einkommens der Steuerperiode 2019 gewesen. Für die Re- kurrentin wäre dies nachteilig für die Steuerprogression und den Säule-3a- Abzug gewesen. Im Jahr 2019 habe die Rekurrentin noch einer 2. Säule angehört, weshalb bei einer maximal zulässigen Einzahlung von CHF 6'826.00 in die Säule 3a die Abfindung diesbezüglich ins Leere gefal- len wäre. Von daher sei nicht von der Hand zu weisen, dass die Auszahlung aufgrund der Progressionswirkung und der Berechnung des Säule-3a-Ab- zugs mit Absicht erst im Jahr 2020 entschieden und ausbezahlt worden sei. Deshalb sei es umso wichtiger, dass Auszahlungen im Folgejahr eines im Vorjahr zu Ende gegangenen Arbeitsverhältnisses bei der Berechnung der Säule-3a-Beiträge mangels aktiver Tätigkeit im Folgejahr nicht berücksich- tigt würden. Andernfalls wäre dem Verschieben von Einkünften ins Folge- jahr allein der Steuerersparnis wegen Tür und Tor geöffnet. 3.7.2. Gemäss Rechtsprechung gilt Einkommen als realisiert, sobald die steuer- pflichtige Person Leistungen vereinnahmt oder zumindest einen festen Rechtsanspruch darauf erwirbt, über den sie tatsächlich verfügen kann (VGE vom 7. März 2023 [WBE.2022.430]; BGE 144 II 427 E. 7.2). 3.7.3. Mit ihren Ausführungen setzt sich die Vorinstanz in einen Widerspruch zu ihrem Einspracheentscheid vom 7. Juni 2021 betreffend die Kantons- und Gemeindesteuern 2019 der Rekurrentin. In diesem wird ausgeführt, dass die Rekurrentin dem Gemeinderat Q._____ im Mai 2020 den Entwurf einer Klage mit ihren Forderungen betreffend Abgangsentschädigung im Mai 2020 habe zukommen lassen. Eine definitive Entscheidung des Gemein- derats Q._____ zu diesem Thema könne somit erst nach Einreichen des Schreibens der Rekurrentin bzw. mit Beschluss des Gemeinderats Q._____ im Jahr 2020 erfolgt sein. Die Vorinstanz erkennt im Einspracheentscheid vom 7. Juni 2021, dass ein fester Rechtsanspruch der Rekurrentin auf die Abfindung erst im Jahr 2020 entstand. Angesichts dessen wie auch des Umstands, dass die Abfindungsvereinbarung erst am tt.mm.2020 abgeschlossen wurde (E. 2.2.), kann nicht von einem bewussten Verschieben von Einkünften ins Folgejahr gesprochen werden. Sodann hätte die Rekurrentin die Abfindung, wenn diese zu einem</w:t>
      </w:r>
    </w:p>
    <w:p>
      <w:r>
        <w:t>- 13 - Zeitpunkt im Jahr 2019 ausbezahlt worden wäre, als sie noch bei der E._____ für die berufliche Vorsorge versichert war, wohl teilweise als Einkauf gemäss § 40 Abs. 1 lit. d StG abziehen können. Abschliessend ist darauf hinzuweisen, dass die Steuerbehörden die Beweislast für Tatsachen, die eine Steuerumgehung begründen, trägt (Bundesgerichtsurteil vom 25. November 2020 [2C_ 334/2020] E. 6.4.3.). Solche Tatsachen sind weder von der Vorinstanz geltend gemacht noch ersichtlich. 3.8. Zusammengefasst ist in Bezug auf die Abfindung von netto CHF 159'172.25 bzw. dem diesbezüglichen Einkommen die Erwerbstätig- keit zu bejahen. Die von der Rekurrentin in die Säule 3a gemachten Ein- zahlungen von CHF 33'250.00 sind somit vollumfänglich abzugsfähig, zu- mal dieser Betrag weniger als 20 % des Erwerbseinkommens von CHF 33'622.65 (20 % von CHF 168'113.25 [CHF 159'172.25 und CHF 8'941.00]) beträgt und auch unter dem gesetzlich zulässigen Maximal- betrag von CHF 34'128.00 (40 % des oberen Grenzbetrags von CHF 85'320.00 gemäss Art. 8 Abs. 1 BVG, Stand 1. Januar 2020) liegt. 3.9. In Gutheissung des Rekurses ist somit das steuerbare Einkommen gemäss Verfügung vom 23. September 2022 von CHF 138'882.00 um CHF 31'462.00 (CHF 33'250.00 – CHF 1'788.00 [von der Vorinstanz zuge- lassene Säule-3a-Beiträge]) auf CHF 107'420.00 herabzusetzen. 4. 4.1. Bei diesem Verfahrensausgang sind die Kosten des Rekursverfahrens auf die Staatskasse zu nehmen (§ 189 Abs. 1 StG). 4.2. 4.2.1. Ausserdem ist der Rekurrentin für die Vertretung im Rekursverfahren eine Parteikostenentschädigung auszurichten (§ 189 Abs. 2 StG). Die Kosten- note des Vertreters der Rekurrentin für die Bemühungen im Rekursverfah- ren beläuft sich auf CHF 8'963.10 (inkl. Auslagen und MWSt). Diese basiert auf einem angenommenen Streitwert von CHF 31'462.00 (vgl. Schreiben vom 3. April 2024). 4.2.2. Streitwert ist in steuerrechtlichen Verfahren nicht die Bemessungsgrund- lage, sondern die auf dieser Grundlage errechnete Steuer (VGE vom 16. September 2014 [WBE.2014.2233]; VGE vom 14. Februar 2023 [WBE.2022.207]), also die Differenz des beantragten Steuerbetrages zu demjenigen gemäss der streitigen Veranlagung (VGE vom 21. Oktober</w:t>
      </w:r>
    </w:p>
    <w:p>
      <w:r>
        <w:t>- 14 - 2009 [WBE.2008.209]). Der Streitwert beträgt vorliegend rund CHF 7'660.00. 4.2.3. Bei der Vertretung durch Rechtsanwälte, Treuhänder wie auch Steuer- berater stellt der Tarif gemäss dem Dekret über die Entschädigung der An- wälte vom 10. November 1987 (Anwaltstarif, AnwT; Stand 1. Januar 2021) die obere Grenze des Parteikostenersatzes dar (AGVE 1981 S. 281; SGE vom 21. Dezember 2023 [3-BB.2023.1]). 4.2.4. Bei einem Streitwert von rund CHF 7'660.00, einer mittleren Bedeutung des Falles, einem mittleren Schwierigkeitsgrad und einem leicht erhöhten Auf- wand wird die Parteikostenentschädigung auf CHF 1'700.00 (inkl. 7.7 % MWSt und Auslagen) festgesetzt (§ 8a Abs. 1 lit. a Ziff. 1 und Abs. 2 AnwT sowie § 8c Abs. 1 AnwT).</w:t>
      </w:r>
    </w:p>
    <w:p>
      <w:r>
        <w:t>- 15 - Das Gericht erkennt: 1. In Gutheissung des Rekurses wird das steuerbare Einkommen auf CHF 107'400.00 festgesetzt. 2. Die Kosten des Rekursverfahrens werden auf die Staatskasse genommen. 3. Es wird eine Parteikostenentschädigung von CHF 1'700.00 (inkl. 7.7 % MWSt) ausgerichtet. Zustellung an: den Vertreter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21. März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