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3-RV.2023.48 vom 23. Mai 2024</w:t>
      </w:r>
    </w:p>
    <w:p>
      <w:r>
        <w:t>Ag Spezialverwaltungsgericht, 2024-05-23, DE</w:t>
      </w:r>
    </w:p>
    <w:p>
      <w:r>
        <w:rPr>
          <w:b/>
        </w:rPr>
        <w:t xml:space="preserve">Quelle: </w:t>
      </w:r>
      <w:r>
        <w:t>https://mcp.opencaselaw.ch/entscheid/ag_spezialverwaltungsgericht_3-RV.2023.48</w:t>
      </w:r>
    </w:p>
    <w:p>
      <w:r>
        <w:t>FR: AG_SPEZIALVERWALTUNGSGERICHT 3-RV.2023.48 du 23 mai 2024</w:t>
      </w:r>
    </w:p>
    <w:p>
      <w:r>
        <w:t>IT: AG_SPEZIALVERWALTUNGSGERICHT 3-RV.2023.48 del 23 maggio 2024</w:t>
      </w:r>
    </w:p>
    <w:p>
      <w:pPr>
        <w:pStyle w:val="Heading2"/>
      </w:pPr>
      <w:r>
        <w:t>Erwägungen</w:t>
      </w:r>
    </w:p>
    <w:p>
      <w:r>
        <w:rPr>
          <w:b/>
        </w:rPr>
        <w:t>E. 6</w:t>
      </w:r>
    </w:p>
    <w:p>
      <w:r>
        <w:t>Vor diesem Hintergrund können die CHF 220'999.35 in der D._____ weder als Investitionskosten aktiviert, noch teilweise als Gebäudeunterhalt gel- tend gemacht werden, weshalb sich eine diesbezügliche Unterscheidung erübrigt. Ebensowenig können darauf Abschreibungen getätigt werden. Von den Umbaupositionen, die der D._____ zuzurechnen sind ("H._____, Verkaufsregale": CHF 614.90, "I._____, Tablare für Verkaufslokal": CHF 40.00, "J._____, X-Automat": CHF 12'631.00, "U._____, Kasse": CHF 1'250.00 und "L._____, Körbe": CHF 56.70), ist allein der X-Automat zu aktivieren, dessen Wert per Ende 2018 zu 20 % (CHF 2'526.00) abgeschrieben werden kann (vgl. Merkblatt A/2001 der Eidgenössischen Steuerverwaltung ESTV betreffend Abschreibungen auf dem Anlagevermögen land- und forstwirtschaftlicher Betriebe). Die übrigen Ausgaben von insgesamt CHF 1'962.00 stellen geschäftsmässig be- gründeten Aufwand dar.</w:t>
      </w:r>
    </w:p>
    <w:p>
      <w:r>
        <w:rPr>
          <w:b/>
        </w:rPr>
        <w:t>E. 7</w:t>
      </w:r>
    </w:p>
    <w:p>
      <w:r>
        <w:t>Was schliesslich die Aufrechnungen "Barspesen Divers" von CHF 659.00 und "...bild" von CHF 830.00 betrifft, so wurden diese von den Rekurrenten – worauf die Vorinstanz in der Vernehmlassung zutreffend hinweist – weder im Veranlagungs- und Einspracheverfahren, noch im Rekurs bestritten. Erst in der Replik wird vorgebracht, die Ausgaben seien geschäftsmässig begründet, weil sie so verbucht worden seien. Es werden keine weiteren Unterlagen, namentlich die Urbelege, beigebracht. Den fachkundig vertretenen Rekurrenten hätte bewusst sein müssen, dass eine Buchung nicht grundsätzlich den Nachweis dafür erbringt, dass die dahinterstehende Transaktion tatsächlich geschäftsmässig begründet war. Es wäre – zumindest bezüglich des ...bildes – ein Leichtes gewesen, den Beleg beizubringen. Auch die Aufwendungen für diverse Barspesen hätten substantiiert dargelegt werden können. Dies haben die Rekurrenten unterlassen. Vor diesem Hintergrund besteht kein Anlass, die entsprechen- den Aufrechnungen der Vorinstanz zu beanstanden.</w:t>
      </w:r>
    </w:p>
    <w:p>
      <w:r>
        <w:t>- 18 -</w:t>
      </w:r>
    </w:p>
    <w:p>
      <w:r>
        <w:rPr>
          <w:b/>
        </w:rPr>
        <w:t>E. 8</w:t>
      </w:r>
    </w:p>
    <w:p>
      <w:r>
        <w:t>Insgesamt ergibt sich, dass die Aufrechnungen von CHF 74'000.00 (Ge- bäudeunterhalt), CHF 8'092.00 (Abschreibung) sowie CHF 659.00 (Bar- spesen Divers) und CHF 830.00 (...bild), total CHF 83'581.00, zu Recht erfolgt sind. Allerdings sind der D._____ geschäftsmässig begründete Aufwendungen von CHF 1'962.00 sowie Abschreibungen von CHF 2'526.00 zuzugestehen. Damit sinkt die Gesamtaufrechnung von CHF 83'581.00 um CHF 4'488.00 auf CHF 79'093.00. Die auf den Rekur- renten entfallende Aufrechnung beträgt somit CHF 39'547.00 (statt CHF 41'789.00). Das steuerbare Einkommen der Rekurrenten sinkt von CHF 168'374.00 um CHF 2'242.00 auf CHF 166'132.00, gerundet CHF 166'100.00. Zudem sind dem Vermögen der Rekurrenten CHF 10'105.00 (abgeschrie- bener Wert des X-Automaten per Ende 2018) hinzuzurechnen, wobei dies (bei einem bisherigen Reinvermögen von CHF 60'134.00) am steuerbaren Vermögen von CHF 0.00 nichts ändert. Damit ist der Rekurs teilweise gutzuheissen.</w:t>
      </w:r>
    </w:p>
    <w:p>
      <w:r>
        <w:rPr>
          <w:b/>
        </w:rPr>
        <w:t>E. 9</w:t>
      </w:r>
    </w:p>
    <w:p>
      <w:r>
        <w:t>Bei diesem Verfahrensausgang obsiegen die Rekurrenten zu rund 5 %. Dies wird praxisgemäss einem vollständigen Unterliegen gleichgestellt (vgl. VGE vom 2. Februar 2011 [WBE.2010.333]). Somit haben die Rekurrenten die Kosten des Rekursverfahrens zu tragen (§ 189 Abs. 1 StG). Es ist keine Parteientschädigung auszurichten (§ 189 Abs. 2 StG).</w:t>
      </w:r>
    </w:p>
    <w:p>
      <w:r>
        <w:t>- 19 - Das Gericht erkennt: 1. In teilweiser Gutheissung des Rekurses wird das steuerbare Einkommen auf CHF 166'100.00 festgesetzt. 2. Die Rekurrenten haben die Kosten des Rekursverfahrens, bestehend aus einer Staatsgebühr von CHF 800.00, der Kanzleigebühr von CHF 240.00 und den Auslagen von CHF 100.00, insgesamt CHF 1'140.00, zu bezahlen. 3. Es wird keine Parteientschädigung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23. Mai 2024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