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3-RV.2023.134 vom 25. April 2024</w:t>
      </w:r>
    </w:p>
    <w:p>
      <w:r>
        <w:t>Ag Spezialverwaltungsgericht, 2024-04-25, DE</w:t>
      </w:r>
    </w:p>
    <w:p>
      <w:r>
        <w:rPr>
          <w:b/>
        </w:rPr>
        <w:t xml:space="preserve">Quelle: </w:t>
      </w:r>
      <w:r>
        <w:t>https://mcp.opencaselaw.ch/entscheid/ag_spezialverwaltungsgericht_3-RV.2023.134</w:t>
      </w:r>
    </w:p>
    <w:p>
      <w:r>
        <w:t>FR: AG_SPEZIALVERWALTUNGSGERICHT 3-RV.2023.134 du 25 avril 2024</w:t>
      </w:r>
    </w:p>
    <w:p>
      <w:r>
        <w:t>IT: AG_SPEZIALVERWALTUNGSGERICHT 3-RV.2023.134 del 25 aprile 2024</w:t>
      </w:r>
    </w:p>
    <w:p>
      <w:pPr>
        <w:pStyle w:val="Heading2"/>
      </w:pPr>
      <w:r>
        <w:t>Erwägungen</w:t>
      </w:r>
    </w:p>
    <w:p>
      <w:r>
        <w:rPr>
          <w:b/>
        </w:rPr>
        <w:t>E. 31</w:t>
      </w:r>
    </w:p>
    <w:p>
      <w:r>
        <w:t>Dezember 2019 belegt wurden, sind auch diese in der Vermögensvergleichsrechnung zu berücksichtigen. 5.5. Vor diesem Hintergrund ist die anlässlich der Veranlagung berechnete Ver- mögenszunahme wie folgt zu korrigieren (kursiv): Vermögensentwicklung 2019 31.12.2019 31.12.2020 Wertschriften (ohne Geschäft) 22863.00 105156.00 Abzüglich Tresorfachgebühr -140.00 Bargeld, Gold und andere Edelmetalle, Verrechnungssteuer 0.00 4.00 Private Fahrzeuge 1000.00 500.00 Nachträglich deklarierte Wertschriften 62534.85 Liegenschaften Privatliegenschaften Q._____, S-Strasse 17 373000.00 373000.00 Schulden -445000.00 -445000.00 Reinvermögen 14257.85 33660.00 Vermögenszunahme 19402.15 Korrektur Wertminderung Fahrzeug 500.00 Bereinigte Vermögenszunahme 19902.15 5.6. Damit sinkt die Vermögenszunahme gegenüber dem im Einspracheent- scheid berechneten Wert von CHF 73'338.00 um CHF 53'435.85 (CHF 62'534.85 ./. CHF 140.00 [Tresorfachgebühr] ./. CHF 500.00 [Korrek-</w:t>
      </w:r>
    </w:p>
    <w:p>
      <w:r>
        <w:t>- 12 - tur Wertminderung Fahrzeug] ./. die im Einspracheentscheid bereits be- rücksichtigten CHF 8'459.00) auf CHF 19'902.15. Im gleichen Masse sinkt die Mittelverwendung von CHF 110'885.00 auf CHF 57'449.15. Bei einer (weder umstrittenen noch offensichtlich falsch berechneten) Mittelherkunft von CHF 65'642.00 und einer Mittelverwen- dung von CHF 57'449.15 ergibt sich ein Einkommensüberschuss von CHF 8'192.85. Aus der gemäss den vorgelegten Belegen korrigierten Vermögensver- gleichsrechnung ergibt sich kein Einkommensmanko mehr. Damit ist es den Rekurrenten gelungen, die offensichtliche Unrichtigkeit der Ermes- sensveranlagung nachzuweisen. 6. Da der Unrichtigkeitsnachweis gelungen ist, fällt die Ermessensveranla- gung dahin. Damit erübrigt sich die Prüfung, ob die Steuerkommission Q._____ ihr Ermessen pflichtgemäss ausgeübt hat. 7. Zusammenfassend hat die Steuerkommission Q._____ die Ermessensveranlagung zu Recht vorgenommen. Im Einspracheverfahren ist es den Rekurrenten jedoch gelungen, durch Einreichung der fehlenden Bankbelege die offensichtliche Unrichtigkeit der Ermessensveranlagung nachzuweisen. Damit ist der Rekurs gutzuheissen. Die ermessensweise Aufrechnung von CHF 40'000.00 fällt dahin. Das steuerbare Einkommen der Rekurrenten gemäss Einspracheentscheid von CHF 117'914.00 sinkt um CHF 40'000.00 auf CHF 77'914.00, gerundet CHF 77'900.00. 8. Bei diesem Verfahrensausgang sind die Kosten des Rekursverfahrens auf die Staatskasse zu nehmen (§ 189 Abs. 1 StG). Nicht vertretenen Rekur- renten wird keine Parteientschädigung ausgerichtet (§ 189 Abs. 2 StG).</w:t>
      </w:r>
    </w:p>
    <w:p>
      <w:r>
        <w:t>- 13 - Das Gericht erkennt: 1. In Gutheissung des Rekurses wird das steuerbare Einkommen auf CHF 77'900.00 festgesetzt. 2. Die Kosten des Verfahrens werden auf die Staatskasse genommen. 3. Es wird keine Parteientschädigung ausgerichtet. Zustellung an: die Rekurrenten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25. April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