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AG_SPEZIALVERWALTUNGSGERICHT 3-RV.2022.94 vom 22. September 2022</w:t>
      </w:r>
    </w:p>
    <w:p>
      <w:r>
        <w:t>Ag Spezialverwaltungsgericht, 2022-09-22, DE</w:t>
      </w:r>
    </w:p>
    <w:p>
      <w:r>
        <w:rPr>
          <w:b/>
        </w:rPr>
        <w:t xml:space="preserve">Quelle: </w:t>
      </w:r>
      <w:r>
        <w:t>https://mcp.opencaselaw.ch/entscheid/ag_spezialverwaltungsgericht_3-RV.2022.94</w:t>
      </w:r>
    </w:p>
    <w:p>
      <w:r>
        <w:t>FR: AG_SPEZIALVERWALTUNGSGERICHT 3-RV.2022.94 du 22 septembre 2022</w:t>
      </w:r>
    </w:p>
    <w:p>
      <w:r>
        <w:t>IT: AG_SPEZIALVERWALTUNGSGERICHT 3-RV.2022.94 del 22 settembre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Inkassobüro Q. hat am 10. August 2020 verfügt, A. habe zur Deckung des Verlustscheins infolge Pfändung vom 17. Dezember 2015 (Kantons- und Gemeindesteuern 2005 – 2007) total CHF 19'608.80 zuzüglich Kosten sicherzustellen.</w:t>
      </w:r>
    </w:p>
    <w:p>
      <w:r>
        <w:rPr>
          <w:b/>
        </w:rPr>
        <w:t>E. 2</w:t>
      </w:r>
    </w:p>
    <w:p>
      <w:r>
        <w:t>Die Verfügung vom 10. August 2020 hat A. mit rechtzeitigem Rekurs vom 20. August 2020 (Postaufgabe gleichentags) an das Spe- zialverwaltungsgericht, Abteilung Steuern, weitergezogen. Er stellte den folgenden Antrag: "Die Sicherstellungsverfügung ist sofort aufzuheben und das Konto ist wieder freizuschalten."</w:t>
      </w:r>
    </w:p>
    <w:p>
      <w:r>
        <w:rPr>
          <w:b/>
        </w:rPr>
        <w:t>E. 2.1</w:t>
      </w:r>
    </w:p>
    <w:p>
      <w:r>
        <w:t>Die verwaltungsgerichtlichen Verfahrenskosten gehen zu Lasten des Kan- tons.</w:t>
      </w:r>
    </w:p>
    <w:p>
      <w:r>
        <w:rPr>
          <w:b/>
        </w:rPr>
        <w:t>E. 2.2</w:t>
      </w:r>
    </w:p>
    <w:p>
      <w:r>
        <w:t>Die Kosten des Rekursverfahrens gehen zu Lasten des Kantons. 3. Es werden keine Parteikosten ersetzt." Das Urteil des Verwaltungsgerichts vom 31. Mai 2022 ist unangefochten in Rechtskraft erwachsen.</w:t>
      </w:r>
    </w:p>
    <w:p>
      <w:r>
        <w:t>- 4 - Das Gericht zieht in Erwägung:</w:t>
      </w:r>
    </w:p>
    <w:p>
      <w:r>
        <w:rPr>
          <w:b/>
        </w:rPr>
        <w:t>E. 3</w:t>
      </w:r>
    </w:p>
    <w:p>
      <w:r>
        <w:t>Es wird keine Parteikostenentschädigung ausgerichtet."</w:t>
      </w:r>
    </w:p>
    <w:p>
      <w:r>
        <w:rPr>
          <w:b/>
        </w:rPr>
        <w:t>E. 4</w:t>
      </w:r>
    </w:p>
    <w:p>
      <w:r>
        <w:t>Das Urteil des Spezialverwaltungsgerichts vom 23. September 2021 hat das Kantonale Steueramt mit Beschwerde vom 2. November 2021 an das Verwaltungsgericht weitergezogen. Es beantragte das Folgende: "1. In Gutheissung der Beschwerde sei das Urteil des Spezialverwaltungsge- richts 3-RV.2020.123 vom 23. September 2021 aufzuheben und die Ange- legenheit dem Spezialverwaltungsgericht zur materiellen Behandlung des Rekurses zurückzuweisen. 2. Eventualiter sei das Urteil des Spezialverwaltungsgerichts 3-RV.2020.123 vom 23. September 2021 aufzuheben und das Spezialverwaltungsgericht anzuweisen, die Angelegenheit dem Stadtrat S. zur materiellen Be- handlung zu überweisen. 3. Unter Kostenfolge zulasten des Beschwerdegegners."</w:t>
      </w:r>
    </w:p>
    <w:p>
      <w:r>
        <w:t>- 3 -</w:t>
      </w:r>
    </w:p>
    <w:p>
      <w:r>
        <w:rPr>
          <w:b/>
        </w:rPr>
        <w:t>E. 5</w:t>
      </w:r>
    </w:p>
    <w:p>
      <w:r>
        <w:t>Das Verwaltungsgericht fällte am 31. Mai 2022 das folgende Urteil (WBE.2021.415): "1. In Gutheissung der Beschwerde wird der Entscheid 3-RV.2020.123 des Spe- zialverwaltungsgerichts, Abt. Steuern, vom 23. September 2021 aufgehoben und die Sache wird zur materiellen Beurteilung an das Spezialverwaltungs- gericht, Abt. Steuern, zurückgewiesen. 2.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