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AG_SPEZIALVERWALTUNGSGERICHT 3-RV.2022.19 vom 22. Juni 2023</w:t>
      </w:r>
    </w:p>
    <w:p>
      <w:r>
        <w:t>Ag Spezialverwaltungsgericht, 2023-06-22, DE</w:t>
      </w:r>
    </w:p>
    <w:p>
      <w:r>
        <w:rPr>
          <w:b/>
        </w:rPr>
        <w:t xml:space="preserve">Quelle: </w:t>
      </w:r>
      <w:r>
        <w:t>https://mcp.opencaselaw.ch/entscheid/ag_spezialverwaltungsgericht_3-RV.2022.19</w:t>
      </w:r>
    </w:p>
    <w:p>
      <w:r>
        <w:t>FR: AG_SPEZIALVERWALTUNGSGERICHT 3-RV.2022.19 du 22 juin 2023</w:t>
      </w:r>
    </w:p>
    <w:p>
      <w:r>
        <w:t>IT: AG_SPEZIALVERWALTUNGSGERICHT 3-RV.2022.19 del 22 giugno 2023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A. meldete sich per 1. Oktober 2014 in R. als Wochenaufenthalter an.</w:t>
      </w:r>
    </w:p>
    <w:p>
      <w:r>
        <w:rPr>
          <w:b/>
        </w:rPr>
        <w:t>E. 2</w:t>
      </w:r>
    </w:p>
    <w:p>
      <w:r>
        <w:t>Mit Verfügung vom 6. April 2021 stellte die Steuerkommission R. die unbeschränkte Steuerpflicht von A. in R. kraft persönlicher Zugehörigkeit ab 1. Januar 2019 fest.</w:t>
      </w:r>
    </w:p>
    <w:p>
      <w:r>
        <w:rPr>
          <w:b/>
        </w:rPr>
        <w:t>E. 2.1</w:t>
      </w:r>
    </w:p>
    <w:p>
      <w:r>
        <w:t>Die Steuerkommission R. hat festgestellt, dass der Rekurrent ab dem</w:t>
      </w:r>
    </w:p>
    <w:p>
      <w:r>
        <w:rPr>
          <w:b/>
        </w:rPr>
        <w:t>E. 3</w:t>
      </w:r>
    </w:p>
    <w:p>
      <w:r>
        <w:t>Gegen die Feststellungsverfügung vom 6. April 2021 erhob A. mit Schreiben vom 6. Mai 2021 Einsprache.</w:t>
      </w:r>
    </w:p>
    <w:p>
      <w:r>
        <w:rPr>
          <w:b/>
        </w:rPr>
        <w:t>E. 4</w:t>
      </w:r>
    </w:p>
    <w:p>
      <w:r>
        <w:t>Mit Entscheid vom 30. November 2021 wies die Steuerkommission R. die Einsprache ab.</w:t>
      </w:r>
    </w:p>
    <w:p>
      <w:r>
        <w:rPr>
          <w:b/>
        </w:rPr>
        <w:t>E. 5</w:t>
      </w:r>
    </w:p>
    <w:p>
      <w:r>
        <w:t>Den Einspracheentscheid vom 30. November 2021 (Zustellung am 2. De- zember 2021 [nachfolgend: Einspracheentscheid]) liess A. mit Rekurs vom 13. Januar 2022 (Postaufgabe am gleichen Tag) an das Spezial- verwaltungsgericht, Abteilung Steuern, weiterziehen. Er liess folgende Anträge stellen: "1. Der Einspracheentscheid vom 30. November 2021 betreffend die Fest- stellungsverfügung vom 6. April 2021 sei vollumfänglich aufzuheben. 2. Unter Kosten- und Entschädigungsfolgen zur Lasten des Rekursgeg- ners." Auf die Begründung wird, soweit erforderlich, in den Erwägungen einge- gangen.</w:t>
      </w:r>
    </w:p>
    <w:p>
      <w:r>
        <w:rPr>
          <w:b/>
        </w:rPr>
        <w:t>E. 6</w:t>
      </w:r>
    </w:p>
    <w:p>
      <w:r>
        <w:t>Die Steuerkommission R. und das Kantonale Steueramt (KStA) beantragen die Abweisung des Rekurses.</w:t>
      </w:r>
    </w:p>
    <w:p>
      <w:r>
        <w:rPr>
          <w:b/>
        </w:rPr>
        <w:t>E. 7</w:t>
      </w:r>
    </w:p>
    <w:p>
      <w:r>
        <w:t>A. liess mit Schreiben vom 17. März 2022 auf eine Replik verzichten.</w:t>
      </w:r>
    </w:p>
    <w:p>
      <w:r>
        <w:t>- 3 - Das Gericht zieht in Erwägung: 1. Der vorliegende Rekurs betrifft die Feststellung des steuerrechtlichen Wohnsitzes ab dem Steuerjahr 2019. Massgebend für die Beurteilung ist das Steuergesetz vom 15. Dezember 1998 (StG). 2.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