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3-RV.2022.154 vom 19. Oktober 2023</w:t>
      </w:r>
    </w:p>
    <w:p>
      <w:r>
        <w:t>Ag Spezialverwaltungsgericht, 2023-10-19, DE</w:t>
      </w:r>
    </w:p>
    <w:p>
      <w:r>
        <w:rPr>
          <w:b/>
        </w:rPr>
        <w:t xml:space="preserve">Quelle: </w:t>
      </w:r>
      <w:r>
        <w:t>https://mcp.opencaselaw.ch/entscheid/ag_spezialverwaltungsgericht_3-RV.2022.154</w:t>
      </w:r>
    </w:p>
    <w:p>
      <w:r>
        <w:t>FR: AG_SPEZIALVERWALTUNGSGERICHT 3-RV.2022.154 du 19 octobre 2023</w:t>
      </w:r>
    </w:p>
    <w:p>
      <w:r>
        <w:t>IT: AG_SPEZIALVERWALTUNGSGERICHT 3-RV.2022.154 del 19 ottobre 2023</w:t>
      </w:r>
    </w:p>
    <w:p>
      <w:pPr>
        <w:pStyle w:val="Heading2"/>
      </w:pPr>
      <w:r>
        <w:t>Erwägungen</w:t>
      </w:r>
    </w:p>
    <w:p>
      <w:r>
        <w:rPr>
          <w:b/>
        </w:rPr>
        <w:t>E. 6.1</w:t>
      </w:r>
    </w:p>
    <w:p>
      <w:r>
        <w:t>Der Rekurrent führt zur Abblindung des Kaminabzugs im Rekurs das Fol- gende aus: "Es handelt sich um den altersbedingten Ersatz der seit dem Umbau anno 1981 bestehenden Abblindung des damals erstellten zweiten Kaminabzugs. Dieser war für den eventuellen späteren Einbau eines zweiten Schwedenofens vorge- sehen, auf den dann jedoch verzichtet wurde. Anlässlich der Umbauarbeiten 2016/2019 zeigte sich, dass diese Abblindung nicht mehr dicht war. Zur Ver- meidung eindringender Feuchtigkeit in diesen Kaminabzug musste die Abblin- dung deshalb erneuert werden."</w:t>
      </w:r>
    </w:p>
    <w:p>
      <w:r>
        <w:rPr>
          <w:b/>
        </w:rPr>
        <w:t>E. 6.2</w:t>
      </w:r>
    </w:p>
    <w:p>
      <w:r>
        <w:t>Gemäss den Ausführungen des Rekurrenten handelt es sich also um den Ersatz einer bereits bestandenen, undicht gewordenen Abblindung. Diese Ausführungen erscheinen glaubwürdig und deren Richtigkeit wird in der Vernehmlassung weder von der Steuerkommission Q._____ noch vom Kantonalen Steueramt in Frage gestellt. Es sind daher die geltend gemach- ten CHF 660.45 als Liegenschaftsunterhalt zum Abzug zuzulassen.</w:t>
      </w:r>
    </w:p>
    <w:p>
      <w:r>
        <w:rPr>
          <w:b/>
        </w:rPr>
        <w:t>E. 7.1</w:t>
      </w:r>
    </w:p>
    <w:p>
      <w:r>
        <w:t>Der Rekurrent beantragt weiter, es seien CHF 27.90 (vgl. Kassenbeleg der D._____ Q._____ vom 2. September 2019) für den altersbedingten Ersatz eines fest mit dem Fensterrahmen verbundenen Rollos als Liegenschafts- unterhalt zum Abzug zuzulassen.</w:t>
      </w:r>
    </w:p>
    <w:p>
      <w:r>
        <w:rPr>
          <w:b/>
        </w:rPr>
        <w:t>E. 7.2</w:t>
      </w:r>
    </w:p>
    <w:p>
      <w:r>
        <w:t>Die Steuerkommission Q._____ hat den Abzug mit der Begründung "Mobiliar" nicht gewährt (Einspracheentscheid, S. 1).</w:t>
      </w:r>
    </w:p>
    <w:p>
      <w:r>
        <w:rPr>
          <w:b/>
        </w:rPr>
        <w:t>E. 7.3</w:t>
      </w:r>
    </w:p>
    <w:p>
      <w:r>
        <w:t>Auf die rechtliche Beurteilung dieser Kosten kann verzichtet werden, da ein allfälliger Abzug auf das steuerbare Einkommen keinen Einfluss hat, weil Restbeträge des Einkommens unter CHF 100.00 ausser Betracht fallen (§ 43 Abs. 3 StG).</w:t>
      </w:r>
    </w:p>
    <w:p>
      <w:r>
        <w:rPr>
          <w:b/>
        </w:rPr>
        <w:t>E. 8</w:t>
      </w:r>
    </w:p>
    <w:p>
      <w:r>
        <w:t>In Gutheissung des Rekurses ist somit das steuerbare Einkommen von CHF 63'359.00 auf (gerundet) CHF 62'600.00 herabzusetzen.</w:t>
      </w:r>
    </w:p>
    <w:p>
      <w:r>
        <w:t>- 7 -</w:t>
      </w:r>
    </w:p>
    <w:p>
      <w:r>
        <w:rPr>
          <w:b/>
        </w:rPr>
        <w:t>E. 9</w:t>
      </w:r>
    </w:p>
    <w:p>
      <w:r>
        <w:t>Bei diesem Verfahrensausgang sind die Kosten des Rekursverfahrens auf die Staatskasse zu nehmen (§ 189 Abs. 1 StG). Den nicht vertretenen Re- kurrenten ist keine Parteikostenentschädigung auszurichten (§ 189 Abs. 2 StG).</w:t>
      </w:r>
    </w:p>
    <w:p>
      <w:r>
        <w:t>- 8 - Das Gericht erkennt: 1. In Gutheissung des Rekurses wird das steuerbare Einkommen auf CHF 62'600.00 festgesetzt. 2. Die Kosten des Rekursverfahrens werden auf die Staatskasse genommen. 3. Es wird keine Parteikostenentschädigung ausgerichtet. Zustellung an: die Rekurrenten das Kantonale Steueramt das 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19. Oktober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