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3-RV.2022.134 vom 25. Mai 2023</w:t>
      </w:r>
    </w:p>
    <w:p>
      <w:r>
        <w:t>Ag Spezialverwaltungsgericht, 2023-05-25, DE</w:t>
      </w:r>
    </w:p>
    <w:p>
      <w:r>
        <w:rPr>
          <w:b/>
        </w:rPr>
        <w:t xml:space="preserve">Quelle: </w:t>
      </w:r>
      <w:r>
        <w:t>https://mcp.opencaselaw.ch/entscheid/ag_spezialverwaltungsgericht_3-RV.2022.134</w:t>
      </w:r>
    </w:p>
    <w:p>
      <w:r>
        <w:t>FR: AG_SPEZIALVERWALTUNGSGERICHT 3-RV.2022.134 du 25 mai 2023</w:t>
      </w:r>
    </w:p>
    <w:p>
      <w:r>
        <w:t>IT: AG_SPEZIALVERWALTUNGSGERICHT 3-RV.2022.134 del 25 maggio 2023</w:t>
      </w:r>
    </w:p>
    <w:p>
      <w:pPr>
        <w:pStyle w:val="Heading2"/>
      </w:pPr>
      <w:r>
        <w:t>Erwägungen</w:t>
      </w:r>
    </w:p>
    <w:p>
      <w:r>
        <w:rPr>
          <w:b/>
        </w:rPr>
        <w:t>E. 1</w:t>
      </w:r>
    </w:p>
    <w:p>
      <w:r>
        <w:t>Mit Verfügung vom 21. Juli 2022 wurde A. von der Steuerkommission Q. für die Kantons- und Gemeindesteuern 2020 zu einem steuerbaren Einkommen von CHF 70'300.00 und zu einem steuerbaren Vermögen von CHF 131'000.00 veranlagt. Dabei wurden dem steuerbaren Einkommen ermessensweise CHF 20'000.00 aus Vermögensvergleich hinzugerechnet.</w:t>
      </w:r>
    </w:p>
    <w:p>
      <w:r>
        <w:rPr>
          <w:b/>
        </w:rPr>
        <w:t>E. 2</w:t>
      </w:r>
    </w:p>
    <w:p>
      <w:r>
        <w:t>Gegen die Verfügung vom 21. Juli 2022 erhob A. mit Schreiben vom 29. Juli 2022 Einsprache. Er stellte den Antrag, es sei auf die ermessensweise Aufrechnung von CHF 20'000.00 zu verzichten.</w:t>
      </w:r>
    </w:p>
    <w:p>
      <w:r>
        <w:rPr>
          <w:b/>
        </w:rPr>
        <w:t>E. 3</w:t>
      </w:r>
    </w:p>
    <w:p>
      <w:r>
        <w:t>Mit Entscheid vom 28. September 2022 wies die Steuerkommission Q. die Einsprache ab.</w:t>
      </w:r>
    </w:p>
    <w:p>
      <w:r>
        <w:rPr>
          <w:b/>
        </w:rPr>
        <w:t>E. 3.1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 191 Abs. 3 StG).</w:t>
      </w:r>
    </w:p>
    <w:p>
      <w:r>
        <w:rPr>
          <w:b/>
        </w:rPr>
        <w:t>E. 3.2</w:t>
      </w:r>
    </w:p>
    <w:p>
      <w:r>
        <w:t>Bei der Ermessensveranlagung können Erfahrungszahlen, Vermögensent- wicklung und Lebensaufwand der steuerpflichtigen Person berücksichtigt werden (§ 191 Abs. 3 StG). Resultiert aus der Steuererklärung ein Einkom- men, das unglaubwürdig ist und "so nicht stimmen kann", drängt sich die Überprüfung durch einen Vermögensvergleich auf. Ergibt dieser, unter Be- rücksichtigung der für den Lebensunterhalt benötigten Mittel, ein erhebli- ches Manko und kann die steuerpflichtige Person nicht nachweisen, dass ein Vermögenszuwachs ganz oder teilweise aus steuerfreien Einkünften resultiert, ist eine Ermessensveranlagung vorzunehmen (VGE vom 23. Ja- nuar 2008 [WBE.2007.342]; AGVE 2005 S. 124 f., mit Hinweisen).</w:t>
      </w:r>
    </w:p>
    <w:p>
      <w:r>
        <w:rPr>
          <w:b/>
        </w:rPr>
        <w:t>E. 3.3</w:t>
      </w:r>
    </w:p>
    <w:p>
      <w:r>
        <w:t>Beim Vermögensvergleich werden der Ermessensveranlagung die Vermö- gensentwicklung und der Lebensaufwand zu Grunde gelegt. Es handelt sich dabei um eine Methode, die unter Berücksichtigung des Lebens- oder Privataufwandes den Rückschluss auf das Einkommen des Steuerpflichti- gen erlaubt. Sie beruht auf folgendem Vorgehen:</w:t>
      </w:r>
    </w:p>
    <w:p>
      <w:r>
        <w:rPr>
          <w:b/>
        </w:rPr>
        <w:t>E. 4</w:t>
      </w:r>
    </w:p>
    <w:p>
      <w:r>
        <w:t>Den Einspracheentscheid vom 28. September 2022 (zugestellt am 21. Ok- tober 2022) hat A. mit Rekurs vom 2. November 2022 (Postaufgabe am 3. November 2022) an das Spezialverwaltungsgericht, Abteilung Steuern, weitergezogen. Er stellt folgenden Antrag: "Die Aufrechnung nach Ermessen sei aufzuheben." Auf die Begründung wird, soweit für den Entscheid erforderlich, in den Er- wägungen eingegangen.</w:t>
      </w:r>
    </w:p>
    <w:p>
      <w:r>
        <w:rPr>
          <w:b/>
        </w:rPr>
        <w:t>E. 5</w:t>
      </w:r>
    </w:p>
    <w:p>
      <w:r>
        <w:t>Das Gemeindesteueramt XY und das Kantonale Steueramt (KStA) be- antragen die Abweisung des Rekurses.</w:t>
      </w:r>
    </w:p>
    <w:p>
      <w:r>
        <w:rPr>
          <w:b/>
        </w:rPr>
        <w:t>E. 6</w:t>
      </w:r>
    </w:p>
    <w:p>
      <w:r>
        <w:t>A. hat eine Replik erstattet.</w:t>
      </w:r>
    </w:p>
    <w:p>
      <w:r>
        <w:rPr>
          <w:b/>
        </w:rPr>
        <w:t>E. 7</w:t>
      </w:r>
    </w:p>
    <w:p>
      <w:r>
        <w:t>Das Spezialverwaltungsgericht hat weitere Abklärungen beim Gemeindesteueramt XY vorgenommen.</w:t>
      </w:r>
    </w:p>
    <w:p>
      <w:r>
        <w:t>- 3 - Das Gericht zieht in Erwägung: 1. Der vorliegende Rekurs betrifft die Kantons- und Gemeindesteuern 2020. Massgebend für die Beurteilung ist das Steuergesetz vom 15. Dezember 1998 (StG). 2. Die Steuerkommission Q. hat die hier streitige Aufrechnung nach Ermessen vorgenommen. Vorab ist zu prüfen, ob die Voraussetzungen für eine (teilweise) Ermessensveranlagung erfüllt waren.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