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3-RV.2022.110 vom 21. März 2024</w:t>
      </w:r>
    </w:p>
    <w:p>
      <w:r>
        <w:t>Ag Spezialverwaltungsgericht, 2024-03-21, DE</w:t>
      </w:r>
    </w:p>
    <w:p>
      <w:r>
        <w:rPr>
          <w:b/>
        </w:rPr>
        <w:t xml:space="preserve">Quelle: </w:t>
      </w:r>
      <w:r>
        <w:t>https://mcp.opencaselaw.ch/entscheid/ag_spezialverwaltungsgericht_3-RV.2022.110</w:t>
      </w:r>
    </w:p>
    <w:p>
      <w:r>
        <w:t>FR: AG_SPEZIALVERWALTUNGSGERICHT 3-RV.2022.110 du 21 mars 2024</w:t>
      </w:r>
    </w:p>
    <w:p>
      <w:r>
        <w:t>IT: AG_SPEZIALVERWALTUNGSGERICHT 3-RV.2022.110 del 21 marzo 2024</w:t>
      </w:r>
    </w:p>
    <w:p>
      <w:pPr>
        <w:pStyle w:val="Heading2"/>
      </w:pPr>
      <w:r>
        <w:t>Erwägungen</w:t>
      </w:r>
    </w:p>
    <w:p>
      <w:r>
        <w:rPr>
          <w:b/>
        </w:rPr>
        <w:t>E. 4.1</w:t>
      </w:r>
    </w:p>
    <w:p>
      <w:r>
        <w:t>Gemäss § 36 Abs. 2 lit. a StG werden bei selbständiger Erwerbstätigkeit unter anderem die ausgewiesenen Abschreibungen auf dem Geschäftsver- mögen zum Abzug zugelassen. Die Abschreibungen sollen den effektiv ein- getretenen, periodengerecht abgegrenzten Wertverminderungen entspre- chen. Die Feststellung der wirklichen Entwertung eines Vermögensobjek- tes bereitet jedoch oft erhebliche Schwierigkeiten. Die Veranlagungsbe- hörde ist normalerweise nicht in der Lage, das Ausmass der effektiven Ent- wertung jedes einzelnen Aktivums zu überprüfen. Das zulässige Mass der Abschreibung ist daher durch Schätzung zu ermitteln. In der Praxis wird diesbezüglich regelmässig auf die von der Eidgenössischen Steuerverwal- tung in den einschlägigen Merkblättern publizierten Abschreibungssätze abgestellt. Dies garantiert eine Berechnung der Abschreibungen in den ein- zelnen Branchen nach einheitlichen Sätzen. In diesem Sinn wird die ge- schäftsmässige Begründetheit der Abschreibungen regelmässig aufgrund pauschaler Abschreibungssätze beurteilt. Der Steuerpflichtige kann zwar auch vom System der Abschreibungssätze abweichen, wenn er glaubhaft machen kann, dies entspreche seiner Unternehmung besser und er damit die geschäftsmässige Begründetheit belegt. Hat er sich jedoch für eine Ab- schreibungsmethode entschieden, so muss er sich dabei behaften lassen. Ein Methodenwechsel ist nur zulässig, wenn er aus triftigen innerbetriebli- chen Gründen erfolgt. Ein einmal gewähltes Abschreibungsverfahren muss in diesem Sinn in der Regel dauernd beibehalten werden und es darf keine</w:t>
      </w:r>
    </w:p>
    <w:p>
      <w:r>
        <w:t>- 8 - steuerplanerisch bedingten Änderungen erfahren (vgl. AGVE 1996 S. 222; VGE vom 21. Oktober 2009 [WBE.2009.4]).</w:t>
      </w:r>
    </w:p>
    <w:p>
      <w:r>
        <w:rPr>
          <w:b/>
        </w:rPr>
        <w:t>E. 4.2</w:t>
      </w:r>
    </w:p>
    <w:p>
      <w:r>
        <w:t>Auf beweglichen Gegenständen des Anlagevermögens kann die Differenz zwischen dem Anlagewert und dem Endwert sofort abgeschrieben werden. Endwert ist der Wert, den der abzuschreibende Gegenstand in dem Zeit- punkt haben wird, in welchem er aus dem Betrieb ausscheidet. Er beträgt in der Regel 20 % des Anlagewertes (§ 20 Abs. 1 StGV; vgl. auch AGVE 2001 S. 409 [mit Hinweisen]). Gegenstände, für welche die Sofortabschrei- bung beansprucht wird, sind auf einem separaten Konto zu verbuchen, das den Anlagewert und Endwert jedes einzelnen Postens im Detail ausweist. Den Steuerbehörden ist nebst der Bilanz eine Abschreibungstabelle zur Verfügung zu stellen. Steuerpflichtige, welche diese buchmässigen Anfor- derungen nicht erfüllen, können die Sofortabschreibung nicht geltend ma- chen (§ 20 Abs. 2 StGV). Die Sofortabschreibung kann ausserdem nicht beansprucht werden, sofern auf den fraglichen Gegenständen bereits nach den Normalsätzen abgeschrieben wurde (§ 20 Abs. 3 StGV).</w:t>
      </w:r>
    </w:p>
    <w:p>
      <w:r>
        <w:rPr>
          <w:b/>
        </w:rPr>
        <w:t>E. 5.1</w:t>
      </w:r>
    </w:p>
    <w:p>
      <w:r>
        <w:t>Eine Abschreibung, und damit auch eine Sofortabschreibung im Sinne von § 20 StGV, ist nur auf Geschäftsvermögen zulässig. Es ist daher vorab die Vermögensqualifikation des Traktors (G) zu prüfen.</w:t>
      </w:r>
    </w:p>
    <w:p>
      <w:r>
        <w:rPr>
          <w:b/>
        </w:rPr>
        <w:t>E. 5.2.1</w:t>
      </w:r>
    </w:p>
    <w:p>
      <w:r>
        <w:t>Als Geschäftsvermögen gelten alle Vermögenswerte, die ganz oder vor- wiegend der selbständigen Erwerbstätigkeit dienen (§ 27 Abs. 2 Satz 3 StG). Gemischt genutzte Wirtschaftsgüter sind nach der sogenannten Prä- ponderanzmethode entweder voll dem Geschäfts- oder voll dem Privatver- mögen zuzurechnen.</w:t>
      </w:r>
    </w:p>
    <w:p>
      <w:r>
        <w:rPr>
          <w:b/>
        </w:rPr>
        <w:t>E. 5.2.2</w:t>
      </w:r>
    </w:p>
    <w:p>
      <w:r>
        <w:t>Ob ein Wertgegenstand dem Privat- oder dem Geschäftsvermögen zuzu- ordnen ist, entscheidet sich aufgrund einer Würdigung aller in Betracht kommenden tatsächlichen Umstände. Ausschlaggebendes Zuteilungskrite- rium ist dabei, wie sich aus der zitierten gesetzlichen Begriffsumschreibung ergibt, die aktuelle technisch-wirtschaftliche Funktion des fraglichen Ver- mögensgegenstands. Massgebend ist also in erster Linie, ob der Gegen- stand tatsächlich dem Geschäft dient (vgl. BGE 133 II 420, Erw. 3.2 und 3.3; BGE 120 Ia 349, Erw. 4c/aa; Bundesgerichtsurteile vom 24. August 2017 [2C_1037/2016], Erw. 4.2, vom 25. April 2017 [2C_41/2016 und 2C_42/2016] und vom 27. November 2013 [2C_515/2013], Erw. 2.1). Ob ein Vermögensgegenstand aufgrund seiner technisch-wirtschaftlichen Funktion der selbständigen Erwerbstätigkeit dient, bestimmt sich nach dem</w:t>
      </w:r>
    </w:p>
    <w:p>
      <w:r>
        <w:t>- 9 - Willen der steuerpflichtigen Person. Diese widmet Vermögensgegenstände – etwa durch Sacheinlage, Investition oder Eigenproduktion – geschäftli- chen Zwecken, indem sie sie zu Produktionsfaktoren in der geschäftlichen Leistungserstellung macht. In diesem Sinne ist jedes Geschäftsvermögen gewillkürt. Diese Widmung ist ein subjektiver Vorgang. Für die Beantwor- tung der Zuteilungsfrage kann aber nicht auf einzelne, beliebige Willenser- klärungen der steuerpflichtigen Person abgestellt werden. Massgebend sind nicht deren bloss formelle Äusserungen über die Zuteilung eines Ver- mögensgegenstandes zum Geschäfts- oder zum Privatvermögen, sondern deren (effektiver) Wille hinsichtlich des tatsächlichen Dienens dieser Ver- mögensgegenstände zu geschäftlichen Zwecken. Das blosse Wollen bzw. hiezu den Steuerbehörden abgegebene Erklärungen genügen nicht. Viel- mehr muss der Widmungswille in den tatsächlichen Verhältnissen zum Ausdruck gebracht, d.h. effektiv verwirklicht worden sein. Massgebend ist somit eine objektivierte Willenserklärung (vgl. Martin Arnold, Geschäfts- und Privatvermögen im schweizerischen Einkommenssteuerrecht, in: ASA 75, S. 280 f.).</w:t>
      </w:r>
    </w:p>
    <w:p>
      <w:r>
        <w:rPr>
          <w:b/>
        </w:rPr>
        <w:t>E. 5.2.3</w:t>
      </w:r>
    </w:p>
    <w:p>
      <w:r>
        <w:t>Die subjektive Widmung der Vermögenswerte durch den Geschäftsinhaber als Geschäftsvermögen äussert sich vor allem in der buchmässigen Erfas- sung. Die Aufnahme eines Vermögenswertes in die Bilanz stellt nach der bundesgerichtlichen Praxis ein gewichtiges Indiz dafür dar, dass dieser zum Geschäftsvermögen gehört, sofern er nicht ausdrücklich als Privatver- mögen gekennzeichnet und der damit zusammenhängende Aufwand und Ertrag nicht konsequent über das Privatkonto gebucht wird. Die buchmäs- sige Behandlung stellt ein Indiz für die Zuteilung dar, welches nur schwer zu widerlegen ist. Wenn die Verbuchung aber nicht im Einklang mit den tatsächlichen Verhältnissen erfolgt, geht die Indizwirkung der Bilanzierung von Geschäftsvermögen verloren (vgl. Kommentar zum schweizerischen Steuerrecht, Bundesgesetz über die direkte Bundessteuer, 4. Auflage, Ba- sel 2022, Art. 18 DBG N 44 ff.). Ein Gegenstand stellt aufgrund seiner tech- nisch-wirtschaftlichen Funktion auch dann Geschäftsvermögen dar, wenn er nicht in die Buchhaltung aufgenommen worden ist. Zu berücksichtigen ist also nicht nur die formelle Aufnahme (oder Nichtaufnahme) in die Bilanz, sondern die konkrete buchhalterische Behandlung insgesamt, so u.a. auch etwa die Vornahme von Abschreibungen oder die Verbuchungsweise von einschlägigen Aufwands- und Ertragspositionen. Von Bedeutung kann ebenfalls die Qualität der Buchführung der steuerpflichtigen Person sein (Bundesgerichtsurteile vom 25. April 2017 [2C_41/2017, 2C_42/2017], Erw. 5.2 und 5.3, und vom 9. Dezember 2016 [2C_308/2016, 2C_309/ 2016], Erw. 3.4 mit weiteren Hinweisen).</w:t>
      </w:r>
    </w:p>
    <w:p>
      <w:r>
        <w:rPr>
          <w:b/>
        </w:rPr>
        <w:t>E. 5.2.4</w:t>
      </w:r>
    </w:p>
    <w:p>
      <w:r>
        <w:t>Wo das Gesetz es nicht anders bestimmt, gilt im Steuerverfahren in ent- sprechender Anwendung des in Art. 8 ZGB niedergelegten Grundsatzes,</w:t>
      </w:r>
    </w:p>
    <w:p>
      <w:r>
        <w:t>- 10 -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(vgl. BGE 140 II 248, 133 II 153; Urteil des Bun- desgerichts vom 15. September 2014 [2C_112/2014]; VGE vom 30. März 2011 [WBE.2011.2], VGE vom 27. Januar 2010 [WBE.2009.268]; Kom- mentar zum Aargauer Steuergesetz, 5. Auflage, Muri-Bern 2023, § 174 StG N 28).</w:t>
      </w:r>
    </w:p>
    <w:p>
      <w:r>
        <w:rPr>
          <w:b/>
        </w:rPr>
        <w:t>E. 5.2.5</w:t>
      </w:r>
    </w:p>
    <w:p>
      <w:r>
        <w:t>Gemäss § 174 StG müssen die von der steuerpflichtigen Person angebo- tenen Beweise abgenommen werden, soweit sie geeignet sind, die für die Veranlagung erheblichen Tatsachen festzustellen. Dabei sind die Beweise durch die Behörde zu würdigen. Im aargauischen Steuerrecht gilt allgemein der Grundsatz der freien Beweiswürdigung. Ob Beweismittel glaubwürdig sind, obliegt der freien Würdigung durch die entscheidenden Behörden. Ist der absolute Beweis nicht möglich, ist in Würdigung der gesamthaften Ver- hältnisse gestützt auf Lebenserfahrung zu entscheiden. Freie Beweiswür- digung ist nicht Willkür (vgl. Kommentar zum Aargauer Steuergesetz, a.a.O., § 174 StG N 27, mit Hinweisen).</w:t>
      </w:r>
    </w:p>
    <w:p>
      <w:r>
        <w:rPr>
          <w:b/>
        </w:rPr>
        <w:t>E. 5.3.1</w:t>
      </w:r>
    </w:p>
    <w:p>
      <w:r>
        <w:t>Der Rekurrent führt für seine selbständige Erwerbstätigkeit eine eigene Buchhaltung. Es liegt somit eine Trennung des Privatvermögens und des Geschäftsvermögens vor. Der Traktor wurde im Anschaffungsjahr 2018 in der Buchhaltung aktiviert. Damit hat der Rekurrent grundsätzlich bekundet, den Traktor einer selbständigen Erwerbstätigkeit dienstbar zu machen. Die buchhalterische Behandlung des Traktors spricht damit klar für Geschäfts- vermögen. Die Aufnahme eines Vermögenwertes in die Bilanz stellt ein ge- wichtiges Indiz dafür dar, dass dieser zum Geschäftsvermögen gehört, so- fern dieser nicht ausdrücklich als Privatvermögen gekennzeichnet und der damit zusammenhängende Aufwand und Ertrag nicht konsequent über das Privatkonto gebucht wird. Die Aufnahme in die Buchhaltung allein vermag jedoch nicht die Zuteilung eines Vermögenswertes zum Geschäftsvermögen bewirken. Für die defini- tive Zuteilung eines Vermögenswertes zum Geschäftsvermögen oder zum Privatvermögen ist auf die aktuelle technisch-wirtschaftliche Funktion eines Wirtschaftsgutes abzustellen. Massgebend ist in erster Linie, ob der Ge- genstand tatsächlich der Erzielung von Gewinn in der selbständigen Er- werbstätigkeit dient.</w:t>
      </w:r>
    </w:p>
    <w:p>
      <w:r>
        <w:t>- 11 -</w:t>
      </w:r>
    </w:p>
    <w:p>
      <w:r>
        <w:rPr>
          <w:b/>
        </w:rPr>
        <w:t>E. 5.3.2</w:t>
      </w:r>
    </w:p>
    <w:p>
      <w:r>
        <w:t>Gemäss den eingereichten Buchhaltungen wurden mit der Traktorvermie- tung 2019 CHF 9'700.00, 2020 CHF 16'400.00 und 2021 CHF 18'800.00 an Erträgen generiert. Dem standen Aufwände von CHF 4'687.50 (2020) und CHF 2'777.20 (2021) gegenüber (Der Aufwand für das Geschäftsjahr 2019 lässt sich den Akten nicht entnehmen; gemäss den Angaben des LE KStA betrug der Aufwand für Versicherungen und Reparaturen im Jahr 2019 CHF 3'157.00). Insgesamt resultierten daraus Ertragsüberschüsse von CHF 11'712.50 (2020) und CHF 16'022.80 (2021). Der Vorinstanz ist sodann zuzustimmen, dass die Traktorvermietung im Jahr 2018 mit einem Verlust von CHF 117'600.00 (Sofortabschreibung) startete. Zwar beschränkt sich die Möglichkeit zur Verlustverrechnung auf die Ver- luste aus den sieben der Steuerperiode vorangegangen Geschäftsjahre, soweit diese bei der Berechnung des steuerbaren Einkommens dieser Jahre noch nicht berücksichtigt werden konnten (§ 39 Abs. 1 StG). Auf der anderen Seite lässt diese Betrachtung die wohl regelmässig längere "Le- bensdauer" des Traktors und dessen Restwert nach sieben Jahren – in Beachtung der mit dem Fahrzeug verrichteten Arbeiten – ausser Acht. Wei- ter ist dazu festzuhalten, dass jede Investition stets ein gewisses Verlustri- siko mit sich bringt. Ob die vom Rekurrenten getätigte Investition sich ge- lohnt hat oder nicht, wird sich erst in einigen Jahren zeigen. Unabhängig davon ist jedoch bereits jetzt aus den eingereichten Buchhaltungen ersicht- lich, dass mit der Traktorvermietung ein Gewinn erzielt werden kann. Dar- aus ist die Gewinneignung abzuleiten.</w:t>
      </w:r>
    </w:p>
    <w:p>
      <w:r>
        <w:rPr>
          <w:b/>
        </w:rPr>
        <w:t>E. 5.3.3</w:t>
      </w:r>
    </w:p>
    <w:p>
      <w:r>
        <w:t>Entgegen der Auffassung der Vorinstanz, kann der vorliegende Sachver- halt nicht mit dem vom Bundegericht mit Urteil vom 1. Mai 2020 [2C_332/ 2019] beurteilten Sachverhalt verglichen werden. Das Bundesgericht hatte in seinem Entscheid darüber zu befinden, ob die teilweise Verpachtung und teilweise Veräusserung eines Geschäftsvermögens als definitive Aufgabe der selbstständigen Erwerbstätigkeit zu würdigen ist. Vorliegend ist unbe- stritten, dass die liegenschaftlichen Werte der Rekurrenten zum Geschäfts- vermögen gehören. Sodann war vom Bundesgericht nicht die Zugehörig- keit eines Alternativgutes zum Geschäfts- oder Privatvermögen zu beurtei- len. Weiter wird der Traktor auch für den Gartenunterhalt im Landwirtschafts- betrieb gebraucht. Es ist sodann kein Einsatz des Traktors für private Zwe- cke ersichtlich. Das spricht nach der Präponderanzmethode der tatsächlich überwiegenden bzw. ausschliesslichen geschäftlichen Nutzung entspre- chend für Geschäftsvermögen.</w:t>
      </w:r>
    </w:p>
    <w:p>
      <w:r>
        <w:t>- 12 -</w:t>
      </w:r>
    </w:p>
    <w:p>
      <w:r>
        <w:rPr>
          <w:b/>
        </w:rPr>
        <w:t>E. 5.4</w:t>
      </w:r>
    </w:p>
    <w:p>
      <w:r>
        <w:t>Insgesamt ist festzuhalten, dass der Traktor überwiegend bzw. aus- schliesslich einer selbständigen Erwerbstätigkeit des Rekurrenten dient. Der Traktor ist daher zum Geschäftsvermögen des Rekurrenten zu rech- nen. Die vorgenommene Sofortabschreibung von CHF 117'600.00 ent- spricht den Voraussetzungen von § 20 StGV. Sie ist daher geschäftsmäs- sig begründet. Die Aufrechnung der Abschreibung von CHF 117'600.00 ist zu streichen.</w:t>
      </w:r>
    </w:p>
    <w:p>
      <w:r>
        <w:rPr>
          <w:b/>
        </w:rPr>
        <w:t>E. 6</w:t>
      </w:r>
    </w:p>
    <w:p>
      <w:r>
        <w:t>Die Vorinstanz hat den Traktor G mit einem Vermögenssteuerwert von CHF 102'900.00 erfasst. Sie hat dabei die Grundsätze für den "Steuerwert Personenwagen mit 1. Inverkehrsetzung 2018" angewandt. (Veran- lagungsdetails vom 19. Februar 2021). Der Buchwert in Berücksichtigung der Sofortabschreibung beträgt CHF 29'400.00. Das satzbestimmende Vermögen ist dementsprechend um CHF 73'500.00 zu reduzieren.</w:t>
      </w:r>
    </w:p>
    <w:p>
      <w:r>
        <w:rPr>
          <w:b/>
        </w:rPr>
        <w:t>E. 7</w:t>
      </w:r>
    </w:p>
    <w:p>
      <w:r>
        <w:t>Im Ergebnis erweist sich der Rekurs als begründet. Der Rekurs ist gutzu- heissen. Das satzbestimmende Einkommen reduziert sich von CHF 981'895.00 um CHF 117'600.00 auf CHF 864'295.00. Das satzbestim- mende Vermögen reduziert sich von CHF 6'810'612.00 um CHF 73'500.00 auf CHF 6'737'112.00.</w:t>
      </w:r>
    </w:p>
    <w:p>
      <w:r>
        <w:rPr>
          <w:b/>
        </w:rPr>
        <w:t>E. 8</w:t>
      </w:r>
    </w:p>
    <w:p>
      <w:r>
        <w:t>Die Steuerkommission F._____ wird angewiesen, eine neue Steuerausscheidung vorzunehmen.</w:t>
      </w:r>
    </w:p>
    <w:p>
      <w:r>
        <w:rPr>
          <w:b/>
        </w:rPr>
        <w:t>E. 9.1</w:t>
      </w:r>
    </w:p>
    <w:p>
      <w:r>
        <w:t>Bei diese Verfahrensausgang sind die Kosten des Rekursverfahrens auf die Staatskasse zu nehmen (§ 189 Abs. 1 StG).</w:t>
      </w:r>
    </w:p>
    <w:p>
      <w:r>
        <w:rPr>
          <w:b/>
        </w:rPr>
        <w:t>E. 9.2</w:t>
      </w:r>
    </w:p>
    <w:p>
      <w:r>
        <w:t>Sodann ist den Rekurrenten für die Vertretung im Rekursverfahren eine Parteientschädigung auszurichten (§ 189 Abs. 2 StG). Die Kostennote der Vertreterin beläuft sich auf CHF 3'043.75 (inkl. MWSt). Da lediglich der im Rekursverfahren durch die Vertretung entstandene Aufwand geltend ge- macht werden kann, ist die Kostennote zu kürzen. Mit der eingereichten Kostennote werden unter dem Titel "Rekapitulation Leistungsgruppe" Kosten für "Einsprache/Rekurs/Vollmacht/Steuerver- handlung" geltend gemacht. Wie ausgeführt sind Aufwendungen aus dem (unentgeltlichen) Veranlagungs- und Einspracheverfahren nicht zu ent- schädigen. Dementsprechend ist die geltend gemachte Entschädigung um die geschätzten Aufwendungen für die "Einsprache/Steuerverhandlung"</w:t>
      </w:r>
    </w:p>
    <w:p>
      <w:r>
        <w:t>- 13 - (im Rekursverfahren wurde keine Verhandlung durchgeführt) herabzuset- zen. Es wird eine Entschädigung von CHF 1'620.00 (12 Std. à CHF 135.00; inkl. MWSt und Auslagen) ausgerichtet.</w:t>
      </w:r>
    </w:p>
    <w:p>
      <w:r>
        <w:t>- 14 - Das Gericht erkennt: 1. In Gutheissung des Rekurses werden das satzbestimmende Einkommen auf CHF 864'295.00 (davon CHF 100'000.00 Beteiligungsertrag) und das satzbestimmende Vermögen auf CHF 6'737'112.00 festgesetzt. 2. Die Steuerkommission F._____ wird angewiesen, eine neue Steuerausscheidung vorzunehmen. 3. Die Kosten des Rekursverfahrens werden auf die Staatskasse genommen. 4. Es wird eine Parteientschädigung von CHF 1'620.00 (inkl. MWSt) ausge- richtet. Zustellung an: die Vertreterin der Rekurrenten (2) das Kantonale Steueramt das Gemeindesteueramt F._____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- 15 - Aarau, 21. März 2024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