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3-RV.2022.101 vom 27. Juni 2024</w:t>
      </w:r>
    </w:p>
    <w:p>
      <w:r>
        <w:t>Ag Spezialverwaltungsgericht, 2024-06-27, DE</w:t>
      </w:r>
    </w:p>
    <w:p>
      <w:r>
        <w:rPr>
          <w:b/>
        </w:rPr>
        <w:t xml:space="preserve">Quelle: </w:t>
      </w:r>
      <w:r>
        <w:t>https://mcp.opencaselaw.ch/entscheid/ag_spezialverwaltungsgericht_3-RV.2022.101</w:t>
      </w:r>
    </w:p>
    <w:p>
      <w:r>
        <w:t>FR: AG_SPEZIALVERWALTUNGSGERICHT 3-RV.2022.101 du 27 juin 2024</w:t>
      </w:r>
    </w:p>
    <w:p>
      <w:r>
        <w:t>IT: AG_SPEZIALVERWALTUNGSGERICHT 3-RV.2022.101 del 27 giugno 2024</w:t>
      </w:r>
    </w:p>
    <w:p>
      <w:pPr>
        <w:pStyle w:val="Heading2"/>
      </w:pPr>
      <w:r>
        <w:t>Erwägungen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- 24 - Aarau, 27. Juni 2024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