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3-RV.2021.93 vom 22. Dezember 2022</w:t>
      </w:r>
    </w:p>
    <w:p>
      <w:r>
        <w:t>Ag Spezialverwaltungsgericht, 2022-12-22, DE</w:t>
      </w:r>
    </w:p>
    <w:p>
      <w:r>
        <w:rPr>
          <w:b/>
        </w:rPr>
        <w:t xml:space="preserve">Quelle: </w:t>
      </w:r>
      <w:r>
        <w:t>https://mcp.opencaselaw.ch/entscheid/ag_spezialverwaltungsgericht_3-RV.2021.93</w:t>
      </w:r>
    </w:p>
    <w:p>
      <w:r>
        <w:t>FR: AG_SPEZIALVERWALTUNGSGERICHT 3-RV.2021.93 du 22 décembre 2022</w:t>
      </w:r>
    </w:p>
    <w:p>
      <w:r>
        <w:t>IT: AG_SPEZIALVERWALTUNGSGERICHT 3-RV.2021.93 del 22 dicembre 2022</w:t>
      </w:r>
    </w:p>
    <w:p>
      <w:pPr>
        <w:pStyle w:val="Heading2"/>
      </w:pPr>
      <w:r>
        <w:t>Erwägungen</w:t>
      </w:r>
    </w:p>
    <w:p>
      <w:r>
        <w:rPr>
          <w:b/>
        </w:rPr>
        <w:t>E. 7.1</w:t>
      </w:r>
    </w:p>
    <w:p>
      <w:r>
        <w:t>Bezüglich der Höhe der ermessensweisen Aufrechnung ist einerseits die Vermögensvergleichsrechnung zu prüfen (Erw. 7.2. und 7.3.). Andererseits ist zu klären, inwieweit die erst im Rekurs eingereichten Unterlagen der Re- kurrentin berücksichtigt werden können (Erw. 7.4. und 7.5.)</w:t>
      </w:r>
    </w:p>
    <w:p>
      <w:r>
        <w:rPr>
          <w:b/>
        </w:rPr>
        <w:t>E. 7.2</w:t>
      </w:r>
    </w:p>
    <w:p>
      <w:r>
        <w:t>Eine Ermessensveranlagung hat pflichtgemäss zu sein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 gungsbehörde umso höher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 bei welchem eine Nachprüfung unmöglich ist (Kommentar zum Aargauer Steuergesetz, a.a.O., § 191 StG N 25 f., mit Hinweisen).</w:t>
      </w:r>
    </w:p>
    <w:p>
      <w:r>
        <w:rPr>
          <w:b/>
        </w:rPr>
        <w:t>E. 7.3.1</w:t>
      </w:r>
    </w:p>
    <w:p>
      <w:r>
        <w:t>Die Aufrechnung der Steuerkommission Q. von CHF 191'943.00 beruhte auf folgender Vermögensvergleichsrechnung: Vermögensentwicklung 2017 31.12.2016 31.12.2017 Wertschriften (ohne Geschäft) 12514.00 12681.00 Bargeld, Gold und andere Edelmetalle, Verrechnungssteuer 0.00 75000.00 Privatliegenschaften AG/Q., X-Strasse 8 193200.00 193200.00 Betriebsvermögen selbständig Erwerbender Geschäftsaktiven: AG/S., Restaurant C. 0.00 144988.00 Schulden -294967.00 -319992.00 Reinvermögen -89253.00 105877.00 Vermögenszunahme 195130.00</w:t>
      </w:r>
    </w:p>
    <w:p>
      <w:r>
        <w:t>- 16 - Mittelherkunft 2017 Total Einkünfte (ohne Liegenschaften) 40426.00 Liegenschaftsunterhaltskosten -2068.00 Berufskosten -3027.00 Schuldzinsen -6467.00 Vermögensverwaltungskosten -10.00 Krankheits- und Unfallkosten -754.00 Massgebendes Einkommen 28100.00 Total Mittelherkunft 28100.00 Mittelverwendung 2017 Vermögenszunahme 195130.00 Bezahlte Kantons- und Gemeindesteuern inkl. Rückerstatt. 4019.00 Bezahlte direkte Bundessteuern, inkl. Rückerstattung 0.00 Kosten für Nahrung, Kleidung, Kosmetik, Freizeit, etc. 25200.00 Private Versicherungsprämien 4000.00 Total Mittelverwendung 228349.00 Einkommensmanko pro Jahr -200249.00</w:t>
      </w:r>
    </w:p>
    <w:p>
      <w:r>
        <w:rPr>
          <w:b/>
        </w:rPr>
        <w:t>E. 7.3.2</w:t>
      </w:r>
    </w:p>
    <w:p>
      <w:r>
        <w:t>Was zunächst die Vermögensentwicklung im Jahr 2017 betrifft, so ent- spricht die Summe der Wertschriften per Ende 2016 von CHF 12'514.00 der entsprechenden Position aus der rechtskräftigen Veranlagung 2016. Für die Wertschriften per Ende 2017 hat die Rekurrentin den Saldo ihres Kontos bei der F. von CHF 1'181.00 deklariert, der Steuererklärung jedoch auch einen Beleg für den (anteiligen) Saldo des Kapitalkontos der G. für ihr Stockwerkeigentum von CHF 11'500.00 beigelegt. Die Steuerkommission Q. hat die beiden Beträge addiert und ist zum (korrekten) Total der Wertschriften per 31. Dezember 2017 von CHF 12'681.00 gelangt. Die Position "Bargeld, Gold und andere Edelmetalle, Verrechnungssteuer" wurde für den 31. Dezember 2016 ebenfalls aus der rechtskräftigen Veran- lagung 2016 korrekt übernommen. Für den 31. Dezember 2017 setzte die Steuerkommission Q. CHF 75'000.00 als Bargeldbestand ein, mit der Begründung, dass per 31. Dezember 2017 ein Bargeldbezug in gleicher Höhe aus der Kasse der Einzelunternehmung erfolgt sei. Dieser Bargeld- bezug ist gemäss den Aufzeichnungen der Rekurrentin ausgewiesen (vgl. Kontodetails 2017, Restaurant C., Konto "1000 Kasse", Privatbezug vom 31. Dezember 2017), weshalb die Position nicht zu beanstanden ist, zumal sich die Rekurrentin dazu (auch) nicht geäussert hat. Der Wert der Privatliegenschaft in Q. (X-Strasse 8) per 31. Dezember 2017 hat sich sodann gegenüber dem Vorjahr nicht verändert und ist nicht umstritten. Die Geschäftsaktiven per 31. Dezember 2017 von CHF 144'988.00 wurden aus dem Jahresabschluss 2017 der Einzelun- ternehmung der Rekurrentin übernommen. Die Schulden per 31. Dezem- ber 2016 von CHF 296'967.00 entsprechen schliesslich dem Betrag aus der rechtskräftigen Veranlagung 2016, während sich der Wert per 31. De- zember 2017 von CHF 319'992.00 aus dem deklarierten Wert der privaten</w:t>
      </w:r>
    </w:p>
    <w:p>
      <w:r>
        <w:t>- 17 - Schulden von CHF 285'801.00 zuzüglich der Geschäftsschulden (Fremd- kapital) von CHF 34'191.00 gemäss eingereichtem Jahresabschluss 2017 ergibt. Somit hat die Steuerkommission Q. die Vermögensentwicklung und die daraus sich ergebende Vermögenszunahme von CHF 195'130.00 korrekt berechnet.</w:t>
      </w:r>
    </w:p>
    <w:p>
      <w:r>
        <w:rPr>
          <w:b/>
        </w:rPr>
        <w:t>E. 7.3.3</w:t>
      </w:r>
    </w:p>
    <w:p>
      <w:r>
        <w:t>Für die Mittelherkunft verwendet die Steuerkommission Q. bei den Einkünften die Summe der in der Steuererklärung von der Rekurrentin und ihrem Ehemann deklarierten Einkommen aus unselbständiger und selb- ständiger Tätigkeit (CHF 9'930.00 + CHF 727.00 + CHF 1'706.00 + CHF 28'057.00 = CHF 40'420.00) und rechnet diesem Betrag den erhalte- nen Zins das Kapitalkontos der G. für das Stockwerkeigentum der Rekurrentin von gerundet CHF 6.00 hinzu. Für die Liegenschaftsunterhaltskosten hat die Steuerkommission Q. den auch in der Steuererklärung geltend gemachten Pauschalabzug von 20 % (CHF 2'068.00) eingesetzt. Hierzu ist festzuhalten, dass beim Vermö- gensvergleich nur in der Steuerperiode vom Steuerpflichtigen beglichene Aufwendungen angerechnet werden dürfen. Pauschalabzüge sind grund- sätzlich zu streichen und durch die effektiven Ausgaben zu ersetzen. Je- doch dürfen die effektiven Lebenshaltungskosten von der Veranlagungs- behörde geschätzt und auch in der Höhe der Pauschalabzüge festgelegt werden, wenn sie vom Steuerpflichtigen nicht dargelegt werden (RGE vom 14. Dezember 2005 [RV.2005.50001] sowie Kommentar zum Aargauer Steuergesetz, a.a.O., § 191 StG N 37 mit weiteren Hinweisen). Nachdem die Rekurrentin zum Vermögensvergleich nicht Stellung genommen und auch keine Unterlagen über die effektiven Liegenschaftsunterhaltskosten eingereicht hat, ist die Schätzung der Steuerkommission Q. in der Höhe des Pauschalabzugs nicht zu beanstanden. Das Gleiche gilt für die Berufskosten, die sich ebenfalls aus Pauschalen zusammensetzen. Hier hat die Steuerkommission die deklarierten Werte der Rekurrentin und ihrem Ehemann zudem nach unten korrigiert, was von diesen aber weder im Einsprache- noch im Rekursverfahren beanstandet wurde. Die im Vermögensvergleich eingesetzten Berufskosten von CHF 3'027.00 bedürfen deshalb keiner Anpassung. Die im Vermögensvergleich aufgeführten Schuldzinsen von CHF 6'467.00 entsprechen dem in der Steuererklärung deklarierten (und belegten) Ge- samtbetrag der Schuldzinsen, die Vermögensverwaltungskosten von CHF 10.00 wurden ebenfalls aus der Deklaration übernommen und sind belegt. Dies gilt auch für die deklarierten (und belegten) Krankheits- und Unfallkosten von CHF 754.00.</w:t>
      </w:r>
    </w:p>
    <w:p>
      <w:r>
        <w:t>- 18 - Somit beträgt die Mittelherkunft – wie von der Steuerkommission Q. berechnet – CHF 28'100.00.</w:t>
      </w:r>
    </w:p>
    <w:p>
      <w:r>
        <w:rPr>
          <w:b/>
        </w:rPr>
        <w:t>E. 7.3.4</w:t>
      </w:r>
    </w:p>
    <w:p>
      <w:r>
        <w:t>Was schliesslich die Mittelverwendung betrifft, so wurde die Vermögenszu- nahme von CHF 195'130.00 aus der zuvor erfolgten Berechnung übernom- men. Bezüglich der bezahlten Steuern auf Kantons- und Bundesebene von CHF 4'019.00 ist kein Grund ersichtlich, weshalb diese Zahlen nicht korrekt von der Steuerkommission Q. erfasst worden sein sollten, zumal die Rekurrentin sie weder kommentiert noch bestritten hat. Für Nahrung, Kleidung, Kosmetik, Freizeit, etc. hat die Steuerkommission Q. sodann den Betrag von CHF 25'200.00 in die Vermögensver- gleichsrechnung eingesetzt. Zur Ermittlung der Lebenshaltungskosten bei Vermögensvergleichsrechnungen wird – so weit nicht die effektiven Kosten bekannt und nachgewiesen sind – regelmässig auf die "Richtlinien für die Berechnung des betreibungsrechtlichen Existenzminimums (Notbedarf) nach Art. 93 SchKG (Kreisschreiben des Obergerichts vom 21. Oktober 2009)" abgestellt. Danach betragen die Lebenshaltungskosten für ein Ehe- paar CHF 1'700.00 pro Monat, zuzüglich CHF 400.00 monatlich für jedes Kind im Alter bis zu zehn Jahren. Die Rekurrentin lebte im Jahr 2017 mit ihrem Ehemann und ihrem Kind zusammen. Sie hat keine effektiven Le- benshaltungskosten nachgewiesen oder die von der Steuerkommission Q. im Vermögensvergleich eingesetzte Zahl auch nur kommentiert. Deshalb ist der für die Kosten für Nahrung, Kleidung, Kosmetik, Freizeit, etc. eingesetzte Betrag von CHF 25'200.00 (12 x [CHF 1'700.00 + CHF 400.00]) nicht zu beanstanden. Bei den Versicherungsprämien wurde der Pauschalabzug von CHF 4'000.00 eingesetzt. Hier gilt zwar auch das oben bei der Mittelher- kunft (Erw. 7.3.3.) erwähnte Prinzip, wonach Pauschalabzüge zu streichen und grundsätzlich durch die effektiv bezahlten Beträge zu ersetzen sind. Tatsächlich ergibt die Summe der gemäss Beilagen zur Steuererklärung bezahlten Krankenversicherungsprämien mit CHF 4'284.60 einen leicht hö- heren Betrag. Wegen Geringfügigkeit wird zugunsten der Rekurrentin auf eine Korrektur verzichtet. Somit sind die Positionen der Mittelverwendung mit einem Total von CHF 228'349.00 unverändert beizubehalten.</w:t>
      </w:r>
    </w:p>
    <w:p>
      <w:r>
        <w:rPr>
          <w:b/>
        </w:rPr>
        <w:t>E. 7.3.5</w:t>
      </w:r>
    </w:p>
    <w:p>
      <w:r>
        <w:t>Die Steuerkommission Q. hat die Vermögensvergleichsrechnung pflichtgemäss durchgeführt. Bei einer Mittelherkunft von CHF 28'100.00 und einer Mittelverwendung von CHF 228'349.00 ergibt sich ein Einkom- mensmanko von CHF 200'249.00.</w:t>
      </w:r>
    </w:p>
    <w:p>
      <w:r>
        <w:t>- 19 -</w:t>
      </w:r>
    </w:p>
    <w:p>
      <w:r>
        <w:rPr>
          <w:b/>
        </w:rPr>
        <w:t>E. 7.4.1</w:t>
      </w:r>
    </w:p>
    <w:p>
      <w:r>
        <w:t>Gemäss § 194 Abs. 2 StG können trotz Aufforderung und Hinweis auf die Säumnisfolgen fahrlässig oder vorsätzlich nicht vorgelegte Unterlagen und Beweismittel im Rekurs- und Beschwerdeverfahren nicht mehr berücksich- tigt werden. Der Beweismittelausschluss bei der Ermessensveranlagung kommt nur zum Tragen, wenn der Steuerpflichtige die Unterlagen und Be- weismittel fahrlässig oder vorsätzlich, d.h. schuldhaft, nicht einreicht. Schuldhaft werden Unterlagen und Beweismittel dann nicht eingereicht, wenn deren Beibringung dem Steuerpflichtigen möglich gewesen wäre (Kommentar zum Aargauer Steuergesetz, a.a.O., § 194 StG N 7b).</w:t>
      </w:r>
    </w:p>
    <w:p>
      <w:r>
        <w:rPr>
          <w:b/>
        </w:rPr>
        <w:t>E. 7.4.2</w:t>
      </w:r>
    </w:p>
    <w:p>
      <w:r>
        <w:t>Der Nachweis der offensichtlichen Unrichtigkeit der Ermessensveranla- gung kann demnach im Rekurs- und Beschwerdeverfahren nicht mit neuen Belegen oder Unterlagen erbracht werden, die unter den Beweismittelaus- schluss fallen (Kommentar zum Aargauer Steuergesetz, a.a.O., § 194 StG N 10, mit Hinweisen; vgl. auch VGE vom 19. Dezember 2006 [WBE.2006.120], bei dem die Beschwerdeführerin erst im verwaltungsge- richtlichen Beschwerdeverfahren Unterlagen einreichte, die das [zur Auf- rechnung führende] Einkommensmanko erklärten, vom Verwaltungsgericht aufgrund des Beweismittelauschlusses jedoch nicht berücksichtigt wur- den). Nur wenn im Rekurs- oder Beschwerdeverfahren festgestellt wird, dass die Steuerfaktoren in der (grundsätzlich zulässigen) Ermessensver- anlagung betraglich nicht pflichtgemäss festgesetzt wurden, und diese Steuerfaktoren erneut ermessensweise festzulegen sind, steht der Beach- tung aller relevanten Unterlagen – auch derjenigen, die unter den Beweis- mittelausschluss fallen – nichts entgegen (vgl. Kommentar zum Aargauer Steuergesetz, a.a.O., § 194 StG N 10, mit Hinweis auf AGVE 1998, S. 243 ff., der einen Sachverhalt betraf, bei dem die ermessensweise Fest- legung der Einkünfte unter klar ungenügender Berücksichtigung notwendi- ger Gewinnungskosten erfolgt war, worauf die neuen Beweismittel zur er- neuten ermessensweisen Festsetzung der Gewinnungskosten im verwal- tungsgerichtlichen Verfahren berücksichtigt wurden).</w:t>
      </w:r>
    </w:p>
    <w:p>
      <w:r>
        <w:rPr>
          <w:b/>
        </w:rPr>
        <w:t>E. 7.5.1</w:t>
      </w:r>
    </w:p>
    <w:p>
      <w:r>
        <w:t>Die Rekurrentin macht im Rekursverfahren erstmals geltend, im Jahr 2017 ein Darlehen von ihrem Vater im Betrag von CHF 160'000.00 erhalten zu haben. Die Vertreterin der Rekurrentin führt aus, aufgrund der familiären Beziehungen habe man diesen Vertrag zunächst nur mündlich abgeschlos- sen. Erst auf Anraten der Vertreterin sei nachträglich ein schriftlicher Ver- trag abgefasst worden. Als Beleg lässt die Rekurrentin einen schriftlichen Darlehensvertrag "er- stellt am 13.07.2017, Unterzeichnung am 28.05.2021" einreichen, gemäss dessen Wortlaut H., wohnhaft in D._____, der Rekurrentin ein zinsloses</w:t>
      </w:r>
    </w:p>
    <w:p>
      <w:r>
        <w:t>- 20 - Darlehen in der Höhe von CHF 160'000.00 gewährt. Der ebenfalls eingereichte Jahreskontoauszug 2017 des Privatkontos der Rekurrentin bei der F. zeigt sechs Gutschriften von je CHF 10'000.00 von H. am 6., 13. und 14. Februar, am 31. Mai sowie am 29. und am 30. Juni 2017. Am 4., 5. und 6. Juli 2017 erfolgten drei weitere Zahlungseingänge von H. im Betrag von je CHF 13'550.00. Danach wurden dem Konto der Rekurrentin vier Mal (7., 10., 11. und 12. Juli 2017) Beträge von je CHF 13'250.00 – ebenfalls von H. stammend – gutgeschrieben. Am 13. Juli 2017 erfolgte eine letzte Gutschrift von H. in Höhe von CHF 6'350.00. In der Summe ergeben diese Zahlungseingänge den Darlehensbetrag von CHF 160'000.00.</w:t>
      </w:r>
    </w:p>
    <w:p>
      <w:r>
        <w:rPr>
          <w:b/>
        </w:rPr>
        <w:t>E. 7.5.2</w:t>
      </w:r>
    </w:p>
    <w:p>
      <w:r>
        <w:t>Sowohl der Darlehensvertrag (zumindest in mündlicher Form) als auch der Jahreskontoauszug 2017 waren während der Dauer des Veranlagungs- und Einspracheverfahrens bereits vorhanden. Nicht nur wurde die Rekur- rentin bereits im Veranlagungsverfahren mehrfach gemahnt und auf den im Rekurs- und Beschwerdeverfahren geltenden Beweismittelausschluss hin- gewiesen (so mit Mahnungen vom 25. Januar und 10. April 2019 sowie vom 18. September 2020), sondern es wurden insbesondere die Privatkon- toauszüge der Rekurrentin und ihres Ehemannes im Einspracheverfahren (mehrfach) ausdrücklich eingefordert (vgl. Aktenergänzungen vom 20. Fe- bruar und vom 10. Juni 2020). Dennoch hat die Rekurrentin diese Unterla- gen erst im Rekursverfahren beigebracht. Die Rekurrentin lässt keine Gründe geltend machen und es sind auch keine Gründe ersichtlich, wes- halb die verspätete Einreichung der Beweismittel entschuldbar sein sollte. Aufgrund des (wirksamen) Beweismittelausschlusses gemäss § 194 Abs. 2 StG dürfen die neuen Beweismittel vom Spezialverwaltungsgericht nicht berücksichtigt werden, selbst wenn sie gegebenenfalls (eine vertiefte Prü- fung der Beweismittel erübrigt sich) einen Teil des im Vermögensvergleich berechneten Einkommensmankos erklären könnten. Anzumerken ist je- doch, dass sich allein aus der Überweisung von Mitteln nicht zwingend auch auf die wirtschaftliche Berechtigung des Überweisers schliessen lässt.</w:t>
      </w:r>
    </w:p>
    <w:p>
      <w:r>
        <w:rPr>
          <w:b/>
        </w:rPr>
        <w:t>E. 8</w:t>
      </w:r>
    </w:p>
    <w:p>
      <w:r>
        <w:t>Zusammenfassend hat die Steuerkommission Q. zu Recht eine Er- messensveranlagung vorgenommen. Der Nachweis der Unrichtigkeit der Ermessensveranlagung ist der Rekurrentin misslungen. Die Steuerkom- mission Q. hat die ermessensweise Berechnung der Einkünfte pflichtgemäss vorgenommen. Die im Rekursverfahren erstmals eingereich- ten Unterlagen können aufgrund des Beweismittelausschlusses nicht be- rücksichtigt werden. Damit ist der Rekurs abzuweisen.</w:t>
      </w:r>
    </w:p>
    <w:p>
      <w:r>
        <w:t>- 21 -</w:t>
      </w:r>
    </w:p>
    <w:p>
      <w:r>
        <w:rPr>
          <w:b/>
        </w:rPr>
        <w:t>E. 9</w:t>
      </w:r>
    </w:p>
    <w:p>
      <w:r>
        <w:t>Bei diesem Verfahrensausgang hat die Rekurrentin die Verfahrenskosten zu tragen (§ 189 Abs. 1 StG). Es ist keine Parteientschädigung auszurich- ten (§ 189 Abs. 2 StG).</w:t>
      </w:r>
    </w:p>
    <w:p>
      <w:r>
        <w:t>- 22 - Das Gericht erkennt: 1. Der Rekurs wird abgewiesen. 2. Die Rekurrentin hat die Kosten des Rekursverfahrens, bestehend aus einer Staatsgebühr von CHF 2'500.00, der Kanzleigebühr von CHF 300.00 und den Auslagen von CHF 100.00, insgesamt CHF 2'900.00, zu bezahlen. 3. Es wird keine Parteientschädigung ausgerichtet. Zustellung an: die Vertreterin der Rekurrentin (2) den Beigeladenen B.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22. Dezember 2022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