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3-RV.2021.36 vom 25. Mai 2023</w:t>
      </w:r>
    </w:p>
    <w:p>
      <w:r>
        <w:t>Ag Spezialverwaltungsgericht, 2023-05-25, DE</w:t>
      </w:r>
    </w:p>
    <w:p>
      <w:r>
        <w:rPr>
          <w:b/>
        </w:rPr>
        <w:t xml:space="preserve">Quelle: </w:t>
      </w:r>
      <w:r>
        <w:t>https://mcp.opencaselaw.ch/entscheid/ag_spezialverwaltungsgericht_3-RV.2021.36</w:t>
      </w:r>
    </w:p>
    <w:p>
      <w:r>
        <w:t>FR: AG_SPEZIALVERWALTUNGSGERICHT 3-RV.2021.36 du 25 mai 2023</w:t>
      </w:r>
    </w:p>
    <w:p>
      <w:r>
        <w:t>IT: AG_SPEZIALVERWALTUNGSGERICHT 3-RV.2021.36 del 25 maggio 2023</w:t>
      </w:r>
    </w:p>
    <w:p>
      <w:pPr>
        <w:pStyle w:val="Heading2"/>
      </w:pPr>
      <w:r>
        <w:t>Erwägungen</w:t>
      </w:r>
    </w:p>
    <w:p>
      <w:r>
        <w:rPr>
          <w:b/>
        </w:rPr>
        <w:t>E. 7.1</w:t>
      </w:r>
    </w:p>
    <w:p>
      <w:r>
        <w:t>Bezüglich der Höhe der ermessensweisen Aufrechnung ist einerseits die Aufrechnungsgrundlage zu prüfen. Andererseits ist zu klären, inwieweit die erst im Rekurs eingereichten Unterlagen der Rekurrentin berücksichtigt werden können.</w:t>
      </w:r>
    </w:p>
    <w:p>
      <w:r>
        <w:rPr>
          <w:b/>
        </w:rPr>
        <w:t>E. 7.2</w:t>
      </w:r>
    </w:p>
    <w:p>
      <w:r>
        <w:t>Eine Ermessensveranlagung hat pflichtgemäss zu sein (§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w:t>
      </w:r>
    </w:p>
    <w:p>
      <w:r>
        <w:t>- 9 - gungsbehörde umso höher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(Kommentar zum Aargauer Steuergesetz, a.a.O., § 191 StG N 25 f., mit Hinweisen).</w:t>
      </w:r>
    </w:p>
    <w:p>
      <w:r>
        <w:rPr>
          <w:b/>
        </w:rPr>
        <w:t>E. 7.3.1</w:t>
      </w:r>
    </w:p>
    <w:p>
      <w:r>
        <w:t>Gemäss § 194 Abs. 2 StG können trotz Aufforderung und Hinweis auf die Säumnisfolgen fahrlässig oder vorsätzlich nicht vorgelegte Unterlagen und Beweismittel im Rekurs- und Beschwerdeverfahren nicht mehr berücksich- tigt werden. Der Beweismittelausschluss bei der Ermessensveranlagung kommt nur zum Tragen, wenn der Steuerpflichtige die Unterlagen und Be- weismittel fahrlässig oder vorsätzlich, d.h. schuldhaft, nicht einreicht. Schuldhaft werden Unterlagen und Beweismittel dann nicht eingereicht, wenn deren Beibringung dem Steuerpflichtigen möglich gewesen wäre (Kommentar zum Aargauer Steuergesetz, a.a.O., § 194 StG N 7b).</w:t>
      </w:r>
    </w:p>
    <w:p>
      <w:r>
        <w:rPr>
          <w:b/>
        </w:rPr>
        <w:t>E. 7.3.2</w:t>
      </w:r>
    </w:p>
    <w:p>
      <w:r>
        <w:t>Der Nachweis der offensichtlichen Unrichtigkeit der Ermessensveranla- gung kann demnach im Rekurs- und Beschwerdeverfahren nicht mit neuen Belegen oder Unterlagen erbracht werden, die unter den Beweismittelaus- schluss fallen (Kommentar zum Aargauer Steuergesetz, a.a.O., § 194 StG N 10, mit Hinweisen; vgl. auch VGE vom 19. Dezember 2006 [WBE.2006. 120], bei dem die Beschwerdeführerin erst im verwaltungsgerichtlichen Be- schwerdeverfahren Unterlagen einreichte, die das [zur Aufrechnung füh- rende] Einkommensmanko erklärten, vom Verwaltungsgericht aufgrund des Beweismittelauschlusses jedoch nicht berücksichtigt wurden). Nur wenn im Rekurs- oder Beschwerdeverfahren festgestellt wird, dass die Steuerfaktoren in der (grundsätzlich zulässigen) Ermessensveranlagung betraglich nicht pflichtgemäss festgesetzt wurden, und diese Steuerfakto- ren erneut ermessensweise festzulegen sind, steht der Beachtung aller re- levanten Unterlagen – auch derjenigen, die unter den Beweismittelaus- schluss fallen – nichts entgegen (vgl. Kommentar zum Aargauer Steuer- gesetz, a.a.O., § 194 StG N 10, mit Hinweis auf AGVE 1998, S. 243 ff., der einen Sachverhalt betraf, bei dem die ermessensweise Festlegung der Ein- künfte unter klar ungenügender Berücksichtigung notwendiger Gewin- nungskosten erfolgt war, worauf die neuen Beweismittel zur erneuten er- messensweisen Festsetzung der Gewinnungskosten im verwaltungs- gerichtlichen Verfahren berücksichtigt wurden).</w:t>
      </w:r>
    </w:p>
    <w:p>
      <w:r>
        <w:t>- 10 -</w:t>
      </w:r>
    </w:p>
    <w:p>
      <w:r>
        <w:rPr>
          <w:b/>
        </w:rPr>
        <w:t>E. 7.4.1</w:t>
      </w:r>
    </w:p>
    <w:p>
      <w:r>
        <w:t>In der letzten Mahnung vom 12. März 2018 wurde der Rekurrentin insbe- sondere auch der Beweismittelausschluss korrekt angedroht. Aufgrund des (wirksamen) Beweismittelausschlusses gemäss § 194 Abs. 2 StG dürfen neue Beweismittel vom Spezialverwaltungsgericht nicht berücksichtigt wer- den. Das gilt insbesondere für die dem KStA JP am 12. Februar 2021 zu- gestellte Steuererklärung 2016 und Jahresrechnung 2016, da das KStA JP den Einspracheentscheid am 11. Februar 2021 gefällt hat und diesen der Rekurrentin am 12. Februar 2021 eröffnete (vgl. dazu auch Bundesge- richtsurteil vom 30. Januar 2017 [2C_36/2017 = ASA 85 S. 600]).</w:t>
      </w:r>
    </w:p>
    <w:p>
      <w:r>
        <w:rPr>
          <w:b/>
        </w:rPr>
        <w:t>E. 7.4.2</w:t>
      </w:r>
    </w:p>
    <w:p>
      <w:r>
        <w:t>Der einspracheweise erhobene Einwand, das Eigenkapital könne bei ei- nem nach Ermessen geschätzten Gewinn von CHF 1.4 Mio. nicht nur CHF 100'000.00 betragen, trifft nur dann zu, wenn der Gewinn nicht aus- geschüttet wird. Wird der Gewinn von der Steuerbehörde als ausgeschüttet betrachtet (mit möglichen Einkommenssteuerfolgen bei beteiligten oder na- hestehenden Personen), erhöht sich das Eigenkapital dagegen nicht. In- dem das KStA JP auf ein Eigenkapital von CHF 100'000.00 abgestellt hat, hat es das schätzerische Ermessen insbesondere im Hinblick auf § 83 Abs. 2 StG keinesfalls verletzt.</w:t>
      </w:r>
    </w:p>
    <w:p>
      <w:r>
        <w:rPr>
          <w:b/>
        </w:rPr>
        <w:t>E. 7.4.3</w:t>
      </w:r>
    </w:p>
    <w:p>
      <w:r>
        <w:t>Der steuerbare Reingewinn wurde vom KStA JP wie folgt geschätzt: Verkaufserlös gemäss Grundbuchmeldung CHF 13'850'000.00 abzüglich Buchwert gemäss Steuerausscheidung 2015 CHF 12'256'940.00 abzüglich Steuern (13.5. %) CHF 193'060.00 Verkaufsgewinn Liegenschaften CHF 1'400'000.00 Das Abstellen auf die Grundbuchmeldung und den Buchwert gemäss Steu- erausscheidung 2015 sowie die Berücksichtigung einer (pauschal festge- setzten) Steuerrückstellung ist nicht zu beanstanden. Ausser Acht gelassen wurde jedoch der den Steuerbehörden bekannte, im Veranlagungsverfah- ren 2015 mit CHF 639'901.00 festgestellte Verlustvortrag. Obwohl allfällige Kenntnisse betreffend Vorperioden zuverlässige Unterlagen zur Ermittlung der Steuerfaktoren in der streitrelevanten Steuerperiode nicht gleichgesetzt werden können (Bundesgerichtsurteil vom 22. Juni 2011 (2C_2013/2011 = StR 2011 S. 700), erscheint die Ermessensveranlagung in diesem Umfang als nicht pflichtgemäss, zumal der nicht berücksichtigte Verlustvortrag rund 45 % des geschätzten Gewinnes entspricht.</w:t>
      </w:r>
    </w:p>
    <w:p>
      <w:r>
        <w:t>- 11 -</w:t>
      </w:r>
    </w:p>
    <w:p>
      <w:r>
        <w:rPr>
          <w:b/>
        </w:rPr>
        <w:t>E. 7.4.4</w:t>
      </w:r>
    </w:p>
    <w:p>
      <w:r>
        <w:t>Der Reingewinn ist daher nach pflichtgemässem Ermessen wie folgt fest- zusetzen: Verkaufserlös gemäss Grundbuchmeldung CHF 13'850'000.00 abzüglich Buchwert gemäss Steuerausscheidung 2015 CHF 12'256'940.00 abzüglich Verlustvortrag CHF 639'901.00 Gewinn vor Steuern CHF 953'159.00 Abzüglich Steuern (13.5 %) CHF 113'371.00 Gewinn nach Steuern CHF 839'788.00 Der (abgerundete) nach pflichtgemässem Ermessen festgesetzte Rein- gewinn beträgt dementsprechend CHF 830'000.00.</w:t>
      </w:r>
    </w:p>
    <w:p>
      <w:r>
        <w:rPr>
          <w:b/>
        </w:rPr>
        <w:t>E. 8</w:t>
      </w:r>
    </w:p>
    <w:p>
      <w:r>
        <w:t>Der Rekurs ist teilweise gutzuheissen. Der steuerbare Reingewinn wird auf CHF 830'000.00 festgesetzt. Das steuerbare Eigenkapital bleibt unverän- dert.</w:t>
      </w:r>
    </w:p>
    <w:p>
      <w:r>
        <w:rPr>
          <w:b/>
        </w:rPr>
        <w:t>E. 9.1</w:t>
      </w:r>
    </w:p>
    <w:p>
      <w:r>
        <w:t>Gemäss § 189 Abs. 1 StG werden die Kosten des Rekursverfahrens der unterliegenden Partei auferlegt. Bei teilweiser Gutheissung des Rekurses sind die Kosten anteilsmässig aufzuteilen. Die Rekurrentin obsiegt gemes- sen an ihren Anträgen zu rund 40 %. Sie hat daher 60 % der Kosten des Rekursverfahrens zu tragen (§ 189 Abs. 1 StG).</w:t>
      </w:r>
    </w:p>
    <w:p>
      <w:r>
        <w:rPr>
          <w:b/>
        </w:rPr>
        <w:t>E. 9.2</w:t>
      </w:r>
    </w:p>
    <w:p>
      <w:r>
        <w:t>Sodann ist der Rekurrentin eine Parteientschädigung auszurichten (§ 189 Abs. 2 StG), wobei bei der Vertretung durch Steuerberater und Treuhänder der Anwaltstarif gemäss dem Dekret über die Entschädigung der Anwälte vom 10. November 1987 (Anwaltstarif, AnwT) die obere Grenze des Par- teikostenersatzes darstellt (AGVE 1981 S. 281 ff.; SGE vom 21. Juli 2016 [3-RV.2015.160]). Vorliegend beträgt der Streitwert rund CHF 190'000.00. Der Fall hat einen maximal mittleren Schwierigkeitsgrad und eine maximal mittlere Bedeu- tung. Zudem ist von einem geringen erforderlichen Aufwand auszugehen. Es rechtfertigt sich daher, die Parteientschädigung in analoger Anwendung von § 8a Abs. 1 lit. a Ziff. 4 und Abs. 2 AnwT sowie § 8c Abs. 1 AnwT auf CHF 6'000.00 (inkl. MWSt und Auslagen) festzusetzen. Davon sind der Re- kurrentin 40 % mit CHF 2'400.00 zu ersetzen.</w:t>
      </w:r>
    </w:p>
    <w:p>
      <w:r>
        <w:t>- 12 - Das Gericht erkennt: 1. In teilweiser Gutheissung des Rekurses wir der steuerbare Gewinn auf CHF 830'000.00 festgesetzt. Das steuerbare Eigenkapital bleibt unverän- dert. 2. Die Rekurrentin hat die Kosten des Rekursverfahrens, bestehend aus einer Staatsgebühr von CHF 9'000.00, der Kanzleigebühr von CHF 155.00 und den Auslagen von CHF 100.00, insgesamt also CHF 9'255.00, zu 60 % mit CHF 5'553.00 zu bezahlen. Der Rest wird auf die Staatskasse genommen. 3. Es wird eine Parteientschädigung von CHF 2'400.00 ausgerichtet. Zustellung an: die Vertreterin der Rekurrentin (2) das Kantonale Steueramt das Gemeindesteueramt 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25. Mai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