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3-RV.2021.189 vom 20. April 2023</w:t>
      </w:r>
    </w:p>
    <w:p>
      <w:r>
        <w:t>Ag Spezialverwaltungsgericht, 2023-04-20, DE</w:t>
      </w:r>
    </w:p>
    <w:p>
      <w:r>
        <w:rPr>
          <w:b/>
        </w:rPr>
        <w:t xml:space="preserve">Quelle: </w:t>
      </w:r>
      <w:r>
        <w:t>https://mcp.opencaselaw.ch/entscheid/ag_spezialverwaltungsgericht_3-RV.2021.189</w:t>
      </w:r>
    </w:p>
    <w:p>
      <w:r>
        <w:t>FR: AG_SPEZIALVERWALTUNGSGERICHT 3-RV.2021.189 du 20 avril 2023</w:t>
      </w:r>
    </w:p>
    <w:p>
      <w:r>
        <w:t>IT: AG_SPEZIALVERWALTUNGSGERICHT 3-RV.2021.189 del 20 aprile 2023</w:t>
      </w:r>
    </w:p>
    <w:p>
      <w:pPr>
        <w:pStyle w:val="Heading2"/>
      </w:pPr>
      <w:r>
        <w:t>Erwägungen</w:t>
      </w:r>
    </w:p>
    <w:p>
      <w:r>
        <w:rPr>
          <w:b/>
        </w:rPr>
        <w:t>E. 1</w:t>
      </w:r>
    </w:p>
    <w:p>
      <w:r>
        <w:t>Mit Verfügung vom 4. Mai 2020 wurden A. und B. von der Steuerkommission C. für das Jahr 2018 zu einem privilegierten Liqui- dationsgewinn von CHF 1'395'017.00 veranlagt. Berücksichtigt wurde bei der Berechnung des Liquidationsgewinnes ein fiktiver Einkauf BVG von CHF 65'580.00.</w:t>
      </w:r>
    </w:p>
    <w:p>
      <w:r>
        <w:rPr>
          <w:b/>
        </w:rPr>
        <w:t>E. 2.1</w:t>
      </w:r>
    </w:p>
    <w:p>
      <w:r>
        <w:t>Verheiratete, die in rechtlich und tatsächlich ungetrennter Ehe leben, üben die nach dem Gesetz den Steuerpflichtigen zukommenden Verfahrens- rechte und Verfahrenspflichten gemeinsam aus (§ 21 Abs. 1 und § 172 Abs. 1 StG). Nach § 172 Abs. 3 StG gelten Rechtsmittel und andere Ein- gaben als rechtzeitig eingereicht, wenn ein Ehegatte innert Frist handelt. Die Ehegatten bilden im Rechtsmittelverfahren nämlich eine Art notwen- dige Streitgenossenschaft, was beide zu Verfahrensbeteiligten macht und entsprechende Konsequenzen bei der Tragung der Verfahrenskosten zei- tigt, für welche die Ehegatten solidarisch haften (AGVE 2006 S. 126; VGE vom 7. Dezember 2011 [WBE.2011.153]; VGE vom 8. Dezember 2008 [WBE.2008.362], mit Hinweis auf AGVE 1998 S. 207; Kommentar zum Aar- gauer Steuergesetz, 4. Auflage, Muri-Bern 2015, § 172 StG N 2 f.).</w:t>
      </w:r>
    </w:p>
    <w:p>
      <w:r>
        <w:rPr>
          <w:b/>
        </w:rPr>
        <w:t>E. 2.2</w:t>
      </w:r>
    </w:p>
    <w:p>
      <w:r>
        <w:t>Da vorliegend keine Hinweise auf eine rechtlich oder tatsächlich getrennte Ehe der Rekurrenten vorliegen, wirkt der nur vom Ehemann eingereichte Rekurs für beide Ehegatten. Die Ehefrau hat demnach vorliegend ebenfalls Parteistellung, mit den genannten Folgen. 3.</w:t>
      </w:r>
    </w:p>
    <w:p>
      <w:r>
        <w:rPr>
          <w:b/>
        </w:rPr>
        <w:t>E. 2.3</w:t>
      </w:r>
    </w:p>
    <w:p>
      <w:r>
        <w:t>Die Ergänzung der Einsprache erfolgte am 13. Juli 2020 in einer Bespre- chung zwischen A. und G. (Landwirtschaftsexperte Kantonales Steueramt [KStA]).</w:t>
      </w:r>
    </w:p>
    <w:p>
      <w:r>
        <w:rPr>
          <w:b/>
        </w:rPr>
        <w:t>E. 2.4</w:t>
      </w:r>
    </w:p>
    <w:p>
      <w:r>
        <w:t>Mit Schreiben vom 4. August 2020 liess A. weitere Ergänzungen einreichen. Es wurde eine Anpassung des Verkehrswertes des Grundstü- ckes Nr. aaa von CHF 1'400'000.00 gestützt auf eine noch vorzunehmende Marktwertermittlung sowie die Berücksichtigung des Beitragsüberhanges aus der Einmaleinlage in die 2. Säule von CHF 200'000.00 von A. beim Liquidationsgewinn beantragt.</w:t>
      </w:r>
    </w:p>
    <w:p>
      <w:r>
        <w:rPr>
          <w:b/>
        </w:rPr>
        <w:t>E. 3.1</w:t>
      </w:r>
    </w:p>
    <w:p>
      <w:r>
        <w:t>Der Vertreter des Rekurrenten beantragt im Rekurs ausschliesslich die Auf- hebung bzw. Rückweisung des Einspracheentscheids an die Vorinstanz zur "Neubeurteilung / Neuveranlagung". Der Antrag wird damit begründet, dass bei Änderungen der Veranlagung zu Ungunsten des Steuerpflichtigen die neu festgesetzten Steuerfaktoren ins Dispositiv aufzunehmen seien. Nachdem im Rekurs keine materiellen Beanstandungen erhoben wurden, ist ausschliesslich auf diesen formellen Antrag einzugehen.</w:t>
      </w:r>
    </w:p>
    <w:p>
      <w:r>
        <w:rPr>
          <w:b/>
        </w:rPr>
        <w:t>E. 3.2</w:t>
      </w:r>
    </w:p>
    <w:p>
      <w:r>
        <w:t>Im Folgenden ist daher einzig zu prüfen, ob das Dispositiv des Einsprache- entscheids im Falle einer Änderung der Veranlagung zu Ungunsten eines Steuerpflichtigen (reformatio in peius) den notwendigen Inhalt aufweist.</w:t>
      </w:r>
    </w:p>
    <w:p>
      <w:r>
        <w:t>- 5 -</w:t>
      </w:r>
    </w:p>
    <w:p>
      <w:r>
        <w:rPr>
          <w:b/>
        </w:rPr>
        <w:t>E. 3.3.1</w:t>
      </w:r>
    </w:p>
    <w:p>
      <w:r>
        <w:t>Gemäss § 195 Abs. 1 StG entscheidet die Veranlagungsbehörde gestützt auf die Untersuchung über die Einsprache. Stellt sie während der Untersu- chung fest, dass die angefochtene Veranlagung nicht dem Gesetz ent- spricht, kann sie unabhängig von den Begehren des Steuerpflichtigen die Steuerfaktoren neu festsetzen. Dabei kann sie die Veranlagung auch zu Ungunsten des Steuerpflichtigen ändern, was durch einen Rückzug der Einsprache nicht verhindert werden kann (vgl. Kommentar zum Aargauer Steuergesetz, 4. Auflage, Muri-Bern 2015, § 195 StG N 8). Bei einer Gut- heissung, teilweiser Gutheissung, Änderung der Veranlagung zu Gunsten (reformatio in melius) oder zu Ungunsten des Steuerpflichtigen (reformatio in peius) sind die neu festgesetzten Steuerfaktoren im Dispositiv aufzuneh- men (vgl. Kommentar zum Aargauer Steuergesetz, a.a.O., § 195 StG N 8).</w:t>
      </w:r>
    </w:p>
    <w:p>
      <w:r>
        <w:rPr>
          <w:b/>
        </w:rPr>
        <w:t>E. 3.3.2</w:t>
      </w:r>
    </w:p>
    <w:p>
      <w:r>
        <w:t>Bei einem Entscheid erwächst grundsätzlich lediglich das Urteilsdispositiv in Rechtskraft. Die Rechtsverbindlichkeit reicht nur so weit, als der Inhalt der Anordnung für den durchschnittlich sprachbegabten Adressaten – unter Umständen mittels Auslegung – zu erschliessen ist. Dies bedingt eine mi- nimale Präzision und Klarheit des Urteildispositivs. Dieses muss so formu- liert sein, dass für Verfügungsadressaten und verfügende Behörde gleich- ermassen klar und unmissverständlich wird, was zwischen ihnen fortan ge- nau gilt (vgl. Kommentar zum Bundesgesetz über das Verwaltungsverfah- ren (VwVG), 2. Auflage, Zürich/St. Gallen 2019, Art. 5 N 39). Das Urteils- dispositiv muss die Weisungen, bezogen und beschränkt auf den konkre- ten Fall, aufführen. Es genügt aber, wenn das Dispositiv unmissverständ- lich auf die entsprechenden Erwägungen in der Urteilsbegründung verweist (vgl. Praxiskommentar zum Bundesgesetz über das Verwaltungsverfahren, 1. Auflage, Zürich 2009, Art. 61 N 24). Die Legaldefinition einer Verfügung gemäss Art. 5 VwVG – somit auch die Lehre und Rechtsprechung dazu – ist auch für das aargauische Verwaltungsrecht anwendbar (AGVE 2005 S. 617, Erw. 1b).</w:t>
      </w:r>
    </w:p>
    <w:p>
      <w:r>
        <w:rPr>
          <w:b/>
        </w:rPr>
        <w:t>E. 3.4.1</w:t>
      </w:r>
    </w:p>
    <w:p>
      <w:r>
        <w:t>Vorliegend wurde im Dispositiv des Einspracheentscheids festgehalten, dass die Einsprache abgewiesen wird und die steuerbaren Faktoren im Sinne der Erwägungen erhöht werden. Die neu festgesetzten Steuerfakto- ren sind nicht betraglich im Urteilsdispositiv aufgeführt. Diese werden nur mit einem Verweis auf die Ausführungen in den Erwägungen definiert.</w:t>
      </w:r>
    </w:p>
    <w:p>
      <w:r>
        <w:t>- 6 -</w:t>
      </w:r>
    </w:p>
    <w:p>
      <w:r>
        <w:rPr>
          <w:b/>
        </w:rPr>
        <w:t>E. 3.4.2.1</w:t>
      </w:r>
    </w:p>
    <w:p>
      <w:r>
        <w:t>In den Erwägungen des Einspracheentscheids wurde festgehalten, dass aufgrund eines Berechnungsfehlers der fiktive Einkauf BVG falsch festge- legt worden sei (vgl. Ziff. 3 des Einspracheentscheids). Der Fehler sei auf eine falsche bzw. unvollständige Deklaration der Steuerpflichtigen zurück- zuführen. In Berücksichtigung der nicht angegebenen Kapitalauszahlungen aus der Säule 3a von total CHF 236'152.00 sei der fiktive Einkauf BVG im Einspracheentscheid von CHF 65'580.00 auf CHF 0.00 zu reduzieren.</w:t>
      </w:r>
    </w:p>
    <w:p>
      <w:r>
        <w:rPr>
          <w:b/>
        </w:rPr>
        <w:t>E. 3.4.2.2</w:t>
      </w:r>
    </w:p>
    <w:p>
      <w:r>
        <w:t>Weiter ist den Erwägungen zu entnehmen, dass das KStA den Verkehrs- wert der Parzelle aaa auf CHF 1'442'000.00 und den Verkehrswert der Par- zelle bbb auf CHF 309'750.00 geschätzt habe (vgl. Ziff. 1 des Einsprache- entscheids). Die Erhöhung der Verkehrswerte hatte eine Erhöhung des pri- vilegierten Liquidationsgewinnnes zur Folge.</w:t>
      </w:r>
    </w:p>
    <w:p>
      <w:r>
        <w:rPr>
          <w:b/>
        </w:rPr>
        <w:t>E. 3.4.2.3</w:t>
      </w:r>
    </w:p>
    <w:p>
      <w:r>
        <w:t>Die Reduzierung des fiktiven Einkaufes bzw. die Erhöhung des Liquidati- onsgewinnes führten zu einer Änderung der Veranlagung zu Ungunsten des Steuerpflichtigen (reformatio in peius). Der steuerbare Liquidationsge- winn wurde um CHF 103'527.00 (CHF 1'498'544.00 - CHF 1'395'017.00) erhöht. Veranlagung vor Ein- Veranlagung nach spracheentscheid Einspracheentscheid Liquidationsgewinn in CHF 1'460'597 1'498'544 Fiktiver Einkauf in CHF - 65'580 0 Steuerbarer Liquidations- 1'395'017 1'498'544 gewinn in CHF</w:t>
      </w:r>
    </w:p>
    <w:p>
      <w:r>
        <w:rPr>
          <w:b/>
        </w:rPr>
        <w:t>E. 3.5</w:t>
      </w:r>
    </w:p>
    <w:p>
      <w:r>
        <w:t>Aus den Erwägungen des Einspracheentscheids geht der Umfang sowie auch die Begründung der Änderung der Steuerfaktoren eindeutig hervor. Durch den Verweis im Dispositiv ist für die Rekurrenten klar und unmiss- verständlich, welche Steuerfaktoren neu massgebend sind. Eine ausdrück- liche betragliche Erwähnung der neu festgesetzten Steuerfaktoren im Ur- teilsdispositiv war nicht zwingend nötig. Eine Aufhebung des Einsprache- entscheids und eine Rückweisung an die Vorinstanz ist insofern nicht ge- boten.</w:t>
      </w:r>
    </w:p>
    <w:p>
      <w:r>
        <w:t>- 7 - 4.</w:t>
      </w:r>
    </w:p>
    <w:p>
      <w:r>
        <w:rPr>
          <w:b/>
        </w:rPr>
        <w:t>E. 4</w:t>
      </w:r>
    </w:p>
    <w:p>
      <w:r>
        <w:t>Mit Entscheid vom 1. Oktober 2021 wies die Steuerkommission C. die Einsprache ab. Sie erhöhte die steuerbaren Faktoren "im Sinne der Erwä- gungen" (Erhöhung des privilegierten Liquidationsgewinnes von</w:t>
      </w:r>
    </w:p>
    <w:p>
      <w:r>
        <w:t>- 3 - CHF 1'395'017.00 auf CHF 1'498'544.00; Reduktion des fiktiven Einkaufs BVG von CHF 65'580.00 auf CHF 0.00).</w:t>
      </w:r>
    </w:p>
    <w:p>
      <w:r>
        <w:rPr>
          <w:b/>
        </w:rPr>
        <w:t>E. 4.1</w:t>
      </w:r>
    </w:p>
    <w:p>
      <w:r>
        <w:t>Der Einspracheentscheid ist gemäss § 195 Abs. 3 StG schriftlich zu be- gründen. Die Begründung muss so abgefasst sein, dass jedenfalls die bun- desrechtlichen Minimalanforderungen, wie sie aus Art. 29 Abs. 2 BV ("Die Parteien haben Anspruch auf rechtliches Gehör") abgeleitet werden, Be- achtung finden. Die tatsächlichen Feststellungen und rechtlichen Überle- gungen, welche die Einsprachebehörde dem Entscheid zu Grunde gelegt hat, müssen nachvollzogen werden können. Die Begründung hat zudem eine Beurteilung der Beweismittel zu enthalten. Weiter hat die Einsprache- behörde zu den Anträgen der steuerpflichtigen Person so Stellung zu neh- men, dass ersichtlich wird, wieweit ihnen entsprochen wird. Sie muss sich jedoch nicht mit jedem Vorbringen der steuerpflichtigen Person auseinan- dersetzen und jedes einzelne Argument ausdrücklich widerlegen. Sie darf sich auf die für den Entscheid wesentlichen Punkte beschränken. Als Mini- malerfordernis verbleibt aber stets, dass sich die am Verfahren beteiligten Personen anhand der Begründung über die Tragweite des Entscheids Re- chenschaft ablegen können. Dieses Minimalerfordernis wird verletzt, wenn sich die Steuerbehörde im Einspracheentscheid mit mehreren Begehren und mit Beweismitteln, welche die steuerpflichtige Person angerufen hat, überhaupt nicht auseinandersetzt (Bundesgerichtsurteil vom 20. Dezember 2012 [2C_843/2012]; Bundesgerichtsurteil vom 3. Mai 2005 [1P.115/2005], mit Verweis auf BGE 126 I 97; VGE vom 1. Dezember 2008 [WBE.2007. 154]; VGE vom 7. Februar 2007 [WBE.2006.121]; Kommentar zum Aar- gauer Steuergesetz, a.a.O., § 175 StG N 31, § 195 StG N 9, mit Hinweisen).</w:t>
      </w:r>
    </w:p>
    <w:p>
      <w:r>
        <w:rPr>
          <w:b/>
        </w:rPr>
        <w:t>E. 4.2</w:t>
      </w:r>
    </w:p>
    <w:p>
      <w:r>
        <w:t>Die Begründung ist im Einspracheentscheid zwar eher knapp ausgefallen. Das Wesentliche wurde jedoch deutlich festgehalten. Insbesondere ist dem Einspracheentscheid zu entnehmen, welche Steuerfaktoren von der Ände- rung der Veranlagung betroffen sind sowie in welchem Umfang und aus welchem Grund die Änderung gegenüber der Veranlagung erfolgt ist (vgl. dazu auch Erw. 4.3.2.1 f.). Eine Verletzung der Begründungspflicht liegt ebenfalls nicht vor. 5. Zusammenfassend ist festzuhalten, dass die Begründung und das Dispo- sitiv den formellen Anforderungen an einen Einspracheentscheid genügen. Der Rekurs ist dementsprechend abzuweisen. 6. Bei diesem Verfahrensausgang haben die Rekurrenten die Kosten des Re- kursverfahrens zu tragen (§ 189 Abs. 1 StG). Es ist keine Parteientschädi- gung auszurichten (§ 189 Abs. 2 StG).</w:t>
      </w:r>
    </w:p>
    <w:p>
      <w:r>
        <w:t>- 8 - Das Gericht erkennt: 1. Der Rekurs wird abgewiesen. 2. Die Rekurrenten hat die Kosten des Rekursverfahrens, bestehend aus ei- ner Staatsgebühr von CHF 1'000.00, der Kanzleigebühr von CHF 110.00 und den Auslagen von CHF 100.00, insgesamt also CHF 1'210.00, zu be- zahlen. 3. Es wird keine Parteientschädigung ausgerichtet. Zustellung an: den Vertreter der Rekurrenten (2) das Kantonale Steueramt das Regionale Steueramt C.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20. April 2023 Spezialverwaltungsgericht Steuern Der Präsident: Der Gerichtsschreiber: Heuscher Ceni</w:t>
      </w:r>
    </w:p>
    <w:p>
      <w:r>
        <w:rPr>
          <w:b/>
        </w:rPr>
        <w:t>E. 5</w:t>
      </w:r>
    </w:p>
    <w:p>
      <w:r>
        <w:t>Den Einspracheentscheid vom 1. Oktober 2021 (Zustellung am 22. Oktober 2021) liess A. mit Rekurs vom 19. November 2021 (Postaufgabe am gleichen Tag) an das Spezialverwaltungsgericht, Abteilung Steuern, weiterziehen. Er liess folgende Anträge stellen: "1. Der Einsprache-Entscheid vom 1. Oktober 2021 sei aufzuheben. 2. Eventualiter sei der Einsprache-Entscheid vom 1. Oktober 2021 zur Neubeurteilung / Neuveranlagung an die Rekursgegnerin zurück zu weisen. 3. Unter Kosten- und Entschädigungsfolgen (zzgl. MWST)." Auf die Begründung wird, soweit erforderlich, in den Erwägungen einge- gangen.</w:t>
      </w:r>
    </w:p>
    <w:p>
      <w:r>
        <w:rPr>
          <w:b/>
        </w:rPr>
        <w:t>E. 6</w:t>
      </w:r>
    </w:p>
    <w:p>
      <w:r>
        <w:t>Das Regionale Steueramt C. und das KStA beantragen die Abweisung des Rekurses.</w:t>
      </w:r>
    </w:p>
    <w:p>
      <w:r>
        <w:rPr>
          <w:b/>
        </w:rPr>
        <w:t>E. 7</w:t>
      </w:r>
    </w:p>
    <w:p>
      <w:r>
        <w:t>A. liess mit Schreiben vom 21. Januar 2022 auf eine Replik verzichten.</w:t>
      </w:r>
    </w:p>
    <w:p>
      <w:r>
        <w:t>- 4 - Das Gericht zieht in Erwägung: 1. Der vorliegende Rekurs betrifft die Kantons- und Gemeindesteuern 2018. Massgebend für die Beurteilung ist das Steuergesetz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