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3-RV.2021.107 vom 19. Oktober 2023</w:t>
      </w:r>
    </w:p>
    <w:p>
      <w:r>
        <w:t>Ag Spezialverwaltungsgericht, 2023-10-19, DE</w:t>
      </w:r>
    </w:p>
    <w:p>
      <w:r>
        <w:rPr>
          <w:b/>
        </w:rPr>
        <w:t xml:space="preserve">Quelle: </w:t>
      </w:r>
      <w:r>
        <w:t>https://mcp.opencaselaw.ch/entscheid/ag_spezialverwaltungsgericht_3-RV.2021.107</w:t>
      </w:r>
    </w:p>
    <w:p>
      <w:r>
        <w:t>FR: AG_SPEZIALVERWALTUNGSGERICHT 3-RV.2021.107 du 19 octobre 2023</w:t>
      </w:r>
    </w:p>
    <w:p>
      <w:r>
        <w:t>IT: AG_SPEZIALVERWALTUNGSGERICHT 3-RV.2021.107 del 19 ottobre 2023</w:t>
      </w:r>
    </w:p>
    <w:p>
      <w:pPr>
        <w:pStyle w:val="Heading2"/>
      </w:pPr>
      <w:r>
        <w:t>Erwägungen</w:t>
      </w:r>
    </w:p>
    <w:p>
      <w:r>
        <w:rPr>
          <w:b/>
        </w:rPr>
        <w:t>E. 1</w:t>
      </w:r>
    </w:p>
    <w:p>
      <w:r>
        <w:t>Mit Verfügung vom 25. Juni 2020 wurde A._____ von der Steuer- kommission Q._____ für die Kantons- und Gemeindesteuern 2017 nach Ermessen zu einem steuerbaren Einkommen von CHF 113'600.00 und zu einem steuerbaren Vermögen von CHF 0.00 veranlagt. Nebst den deklarierten Unterhaltsbeiträgen, wurde A._____ nach Ermessen ein Einkommen aus unselbstständiger Erwerbstätigkeit in der Höhe von CHF 100'000.00 angerechnet.</w:t>
      </w:r>
    </w:p>
    <w:p>
      <w:r>
        <w:rPr>
          <w:b/>
        </w:rPr>
        <w:t>E. 2</w:t>
      </w:r>
    </w:p>
    <w:p>
      <w:r>
        <w:t>Gegen die Verfügung vom 25. Juni 2020 hat A._____ mit Schreiben vom</w:t>
      </w:r>
    </w:p>
    <w:p>
      <w:r>
        <w:rPr>
          <w:b/>
        </w:rPr>
        <w:t>E. 7</w:t>
      </w:r>
    </w:p>
    <w:p>
      <w:r>
        <w:t>Mit Schreiben vom 24. Mai 2022 liess A._____ Stellung nehmen und folgende Anträge stellen: "1. In Gutheissung des Rekurses sei der Einspracheentscheid der Steuerkom- mission Q._____ vom 3. Juni 2021 aufzuheben und festzustellen, dass die Veranlagung der Kantons- und Gemeindesteuern 2017 nichtig ist.</w:t>
      </w:r>
    </w:p>
    <w:p>
      <w:r>
        <w:t>- 3 - 2. Eventualiter sei in Gutheissung des Rekurses der Einspracheentscheid der Steuerkommission Q._____ vom 3. Juni 2021 aufzuheben und das steuerbare Einkommen auf CHF 26'035.00 zu reduzieren. 3. Unter Kosten- und Entschädigungsfolgen zu Lasten der Beschwerdegeg- nerin." Auf die Begründung wird, soweit für die Entscheidung erforderlich, in den Erwägungen eingegangen.</w:t>
      </w:r>
    </w:p>
    <w:p>
      <w:r>
        <w:rPr>
          <w:b/>
        </w:rPr>
        <w:t>E. 8</w:t>
      </w:r>
    </w:p>
    <w:p>
      <w:r>
        <w:t>Das Spezialverwaltungsgericht hat weitere Abklärungen beim Gemeinde- steueramt Q._____ vorgenommen.</w:t>
      </w:r>
    </w:p>
    <w:p>
      <w:r>
        <w:rPr>
          <w:b/>
        </w:rPr>
        <w:t>E. 9</w:t>
      </w:r>
    </w:p>
    <w:p>
      <w:r>
        <w:t>Das Spezialverwaltungsgericht hat die Akten der Verfahren 3-RV.2021.108 betreffend Kantons- und Gemeindesteuern 2018, 3-BB.2021.11 betreffend Direkte Bundessteuer 2018 und 3-BB.2022.1 betreffend Direkte Bundes- steuer 2017 in Sachen von A._____ beigezogen.</w:t>
      </w:r>
    </w:p>
    <w:p>
      <w:r>
        <w:t>- 4 - Das Gericht zieht in Erwägung: 1. Der vorliegende Rekurs betrifft die Kantons- und Gemeindesteuern 2017. Massgebend für die Beurteilung ist das Steuergesetz vom 15. Dezember 1998 (StG) und die Verordnung zum Steuergesetz vom 11. September 2000 (StGV). 2. Die Steuerkommission Q._____ ist auf die Einsprache der Rekurrentin in- folge Verspätung nicht eingetreten. Anfechtungsobjekt ist insoweit ein Nichteintretensentscheid, so dass einzig zu prüfen ist, ob die Vorinstanz zu Recht nicht auf das Rechtsmittel eingetreten ist. 3. 3.1. Die Rekurrentin lässt vorerst die Nichtigkeit der Ermessensveranlagung be- treffend Kantons- und Gemeindesteuern 2017 rügen. 3.2. Fehlerhafte Verwaltungsakte sind in aller Regel nicht nichtig, sondern bloss anfechtbar, und sie erwachsen dementsprechend durch Nichtanfechtung (bzw. verspätete Anfechtung) in Rechtskraft. Nichtigkeit der Verfügung oder des Entscheides tritt nach ständiger bundesgerichtlicher Rechtspre- 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 keit der entscheidenden Behörde sowie krasse Verfahrensfehler in Be- tracht. Inhaltliche Mängel einer Verfügung oder eines Entscheides führen nur ausnahmsweise zur Nichtigkeit. Nichtigkeit erfordert einen ins Auge springenden, materiell- und verfahrensrechtlich aussergewöhnlich schwer- wiegenden Mangel (vgl. Urteile des Bundesgerichts 2C_720/2018 vom</w:t>
      </w:r>
    </w:p>
    <w:p>
      <w:r>
        <w:rPr>
          <w:b/>
        </w:rPr>
        <w:t>E. 11</w:t>
      </w:r>
    </w:p>
    <w:p>
      <w:r>
        <w:t>September 2018, Erw. 3.3; 2D_42/2017 vom 28. November 2017, Erw. 2.5). Fehlt einer Verfügung oder einem Entscheid zufolge Nichtigkeit jegliche Rechtsverbindlichkeit, so ist das durch die Behörde, die mit der Sache befasst ist, jederzeit von Amtes wegen zu beachten (vgl. Urteil des Bundesgerichts vom 11. Juli 2017 [2C_679/2016, 2C_680/2016]).</w:t>
      </w:r>
    </w:p>
    <w:p>
      <w:r>
        <w:t>- 5 - In Bezug auf Ermessensveranlagungen hat das Bundesgericht diese Grundsätze dahingehend konkretisiert, dass von deren Nichtigkeit erst aus- zugehen ist, wenn die Veranlagungsbehörde in aussergewöhnlich schwe- rer bzw. krasser Weise gegen die ihr obliegende Untersuchungs- und Über- prüfungspflicht verstösst und "in krasse Willkür" verfällt, mithin das steuer- bare Einkommen bewusst und willkürlich zum Nachteil der steuerpflichtigen Person bemisst (vgl. Urteile des Bundesgerichts 2C_259/2021 vom 30. No- vember 2021, Erw. 5.3; 2C_1022/2020 vom 18. Mai 2021, Erw. 3.3; 2C_679/2016, 2C_680/2016 vom 11. Juli 2017, Erw. 5.3.3 f.). Handelt es sich dagegen um einen mindererheblichen Rechtsfehler, bleibt es bei der blossen Anfechtbarkeit der Veranlagung nach pflichtgemässem Ermessen, wobei es zur Umkehr der Beweislast kommt (vgl. Urteil des Bundesgerichts 2C_1022/2020 vom 18. Mai 2021, Erw. 3.3 mit Hinweisen). 3.3. Die Rekurrentin macht geltend, dass die nach Ermessen vorgenommene Aufrechnung des Lohnes aus unselbstständiger Erwerbstätigkeit so krass falsch und objektiv in keiner Art und Weise nachvollziehbar sei, dass die Veranlagung der Kantons- und Gemeindesteuern 2017 nichtig sei. Die Steuerkommission habe das Einkommen der Rekurrentin zu Unrecht aus einer im Internet frei verfügbare Information, welche nicht verifiziert sei, ab- geleitet bzw. auf Durchschnittslöhne für eine Tätigkeit, welche sie gar nicht ausgeübt habe, abgestellt. Dies habe zu einer völlig unverhältnismässigen Steuerforderung von rund 80 % des tatsächlich erzielten Renteneinkom- mens geführt. Damit habe sie ihr Ermessen krass missbraucht, was zur Nichtigkeit der Veranlagung führe. 3.4. 3.4.1. 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grösser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(vgl. Kommentar zum Aar- gauer Steuergesetz, a.a.O., § 191 StG N 25 f., mit Hinweisen).</w:t>
      </w:r>
    </w:p>
    <w:p>
      <w:r>
        <w:t>- 6 - 3.4.2. 3.4.2.1. Die Steuerkommission Q._____ rechnete der Rekurrentin ermessenweise ein Einkommen aus unselbstständiger Erwerbstätigkeit von CHF 100'000.00 auf. Aus den Akten und insbesondere aus dem Ein- spracheentscheid geht nicht hervor, woraus die Steuerkommission die Höhe dieses Einkommens aus unselbstständiger Erwerbstätigkeit hergelei- tet hat. Das Spezialverwaltungsgericht hat unter anderem die Akten zum Verfahren 3-BB.2022.1 (Beschwerde gegen den Einspracheentscheid der Steuerkommission Q._____ vom 3. Juni 2021 betreffend Direkte Bun- dessteuer 2017) beigezogen. Aus dem Einspracheentscheid der Steuer- kommission Q._____ vom 6. Dezember 2021 betreffend Direkte Bun- dessteuer 2017 kann folgende Herleitung zur Höhe der Aufrechnung von CHF 100'000.00 als unselbstständiges Einkommen entnommen werden: "Auf der Website lohnanalyse.ch wird für die Tätigkeit als Geschäftsführer*in ein Bruttolohn zwischen CHF 72'800 und CHF 500'000 pro Jahr aufgeführt. Der Durchschnittslohn wird mit CHF 183'427 ausgewiesen. Für eine Tätigkeit im Teilzeitpensum wird ein Durchschnittslohn von CHF 99'692 angezeigt. Die Veranlagungsbehörde ist von einer Tätigkeit im Teilzeitpensum ausgegan- gen und hat den dafür ausgewiesenen Durchschnittslohn gemäss der Website lohnanalyse.ch von CHF 99'692 auf CHF 100'000 aufgerundet. Die Steuerkommission Q._____ sieht in der Festsetzung des Lohnes aus der B._____ AG keine Überschreitung des Ermessensspielraums. In der Veranlagungsverfügung wurde das ermessensweise festgesetzte Einkommen unter Ziff. 1.1 als Lohnausweis B._____ AG nach Ermessens 100'000 ausgewiesen." 3.4.2.2. Die Webseite lohnanalyse.ch wird von einer deutschen Gesellschaft betrie- ben und hat als Vision den Aufbau einer umfassenden, unabhängigen, kos- tenfreien und länderübergreifenden Lohndatenbank für Deutschland, die Schweiz und Österreich (vgl. www.lohnanalyse.ch/ch/service/ueber-lohn- analyse.html). Weiter wird die Funktionsweise folgendermassen beschrie- ben: "Alle Löhne auf unserer Plattform wurden ausschließlich von Benutzern der Plattform selber eingegeben. Jeden Monat erhalten wir auf diesem Wege rund 800 neue Lohneinträge - unterteilt nach Land, Bundesland/Kanton, Geschlecht, Qualifikation und weiteren Lohnparametern wie Urlaubstage und Wochenar- beitszeit. Jeder Lohneintrag wird von lohnanalyse in zwei Schritten überprüft:</w:t>
      </w:r>
    </w:p>
    <w:p>
      <w:r>
        <w:t>- 7 - • Nach der Eintragung nimmt unser System eine automatische Plausibilitäts- prüfung vor, indem der Lohn mit den bereits eingetragenen Löhnen vergli- chen wird. Weicht der Lohn übernatürlich ab, wird dies entsprechend regis- triert • Der Lohneintrag wird zu einem unserer Redakteure geschickt. Dieser kon- trolliert in einem weiteren Schritt ob die Angaben zueinander passen. Erst nach diesem zweiten Prüfpunkt wird der Eintrag entweder freigeschaltet oder aber überarbeitet oder gelöscht. Mit diesem Verfahren können wir sicherstellen, eine größtmögliche Qualität für unsere Besucher anzubieten. Momentan ist lohnanalyse auf die DACH-Region (Deutschland, Österreich, Schweiz) beschränkt. Ein Ausbau auf weitere Länder und Sprachen ist bereits geplant..." Es handelt sich dabei somit um eine Datenbank, welche Daten von Benut- zern der Plattform zusammenführt und kategorisiert. 3.4.2.3. Nachfolgend ist zu prüfen, ob die Auswertungen der Webseite lohnyana- lyse.ch von der Vorinstanz zu Recht als Erfahrungszahlen für eine Ermes- sensveranlagung beigezogen werden durften. Unter Erfahrungszahlen versteht man Kennzahlen, die durch statistische und kalkulatorische Auswertung einer repräsentativen Anzahl von zuver- lässigen Angaben gewonnen wurden. Gemäss eigenen Angaben werden jeden Monat 800 neue Lohneinträge aufgenommen. Über die Anzahl effektiv in die Datenbank aufgenommenen Einträge und bei wie vielen Einträgen es sich effektiv um Schweizer Löhne von Geschäftsführerinnen und Geschäftsführer handeln, ist nicht bekannt. Es kann folglich nicht beurteilt werden, ob es sich um eine repräsentative Anzahl handelt. Über die Zuverlässigkeit der Angaben kann festgehalten werden, dass die Einträge, bevor sie in die Datenbank aufgenommen wer- den, einer Plausibilitätsprüfung unterzogen werden. Wie diese Prüfung konkret ausgestaltet bzw. durchgeführt wird, ist nicht bekannt. Insgesamt kann festgehalten werden, dass die Auswertungen der Web- seite lohnanalyse.ch nicht genügen, um als Erfahrungszahlen beigezogen zu werden. Es kann nicht beurteilt werden kann, ob für eine Ermessensver- anlagung die Anzahl der Einträge repräsentativ bzw. die Angaben zuver- lässig sind. 3.4.3. Indem die Vorinstanz die Aufrechnung des Einkommens aus unselbststän- diger Erwerbstätigkeit in der Höhe von CHF 100'000.00 aus der Datenbank lohnanalyse.ch hergeleitet hat, hat sie ihr Ermessen fehlerhaft und damit nicht pflichtgemäss ausgeübt.</w:t>
      </w:r>
    </w:p>
    <w:p>
      <w:r>
        <w:t>- 8 - 3.5. Die Vorinstanz hat ihr Ermessen zwar nicht pflichtgemäss ausgeübt, indem sie die Aufrechnung des Einkommens aus unselbstständiger Erwerbstätig- keit in der Höhe von CHF 100'000.00 aus der Datenbank lohnanalyse.ch hergeleitet hat. Es handelt sich dabei aber nicht um einen aussergewöhn- lich schwerwiegenden Mangel. Vielmehr handelt es sich um einen minder- erheblichen inhaltlichen Mangel, der bloss zur Anfechtbarkeit der Ermes- sensveranlagung führt. Auch ist nicht festzustellen, dass die Vorinstanz in aussergewöhnlich schwerer bzw. krasser Weise gegen die ihr obliegende Untersuchungs- und Überprüfungspflicht vorstossen hat und "in krasse Willkür" verfallen ist, mithin das steuerbare Einkommen bewusst und will- kürlich zum Nachteil der Rekurrentin bemessen hat. Insbesondere ist her- vorzuheben, dass die Rekurrentin durch die Wahrnehmung ihrer Mitwir- kungspflichten eine Ermessensveranlagung verhindern konnte. 3.6. Es ist festzuhalten, dass die Ermessenveranlagung nicht nichtig ist. 4. 4.1. Die Einsprachefrist beträgt 30 Tage und ist nicht erstreckbar (§ 187 Abs. 1 StG). Es handelt sich um eine gesetzliche Frist, die als Verwirkungs- frist ausgestaltet ist. Die rechtzeitige Einreichung eines Rechtsmittels ist eine Sachurteilsvoraussetzung. Nur wenn sie erfüllt ist, darf auf das Rechtsmittel eingetreten werden. Die Einsprachefrist beginnt mit dem auf die Eröffnung der Veranlagung folgenden Tag zu laufen (§ 186 Abs. 1 StG). 4.2. Die definitive Steuerveranlagung 2017 wurde am 26. Juni 2020 zugestellt (vgl. Sendungsverfolgung Brief A-Post Plus Sendungsnummer aaa). Die 30-tägige Einsprachefrist begann somit am 27. Juni 2020 zu laufen und endete am 27. Juli 2020. Die Einsprache datiert vom 7. September 2020 und ist bei der Vorinstanz am 8. September 2020 eingegangen. Die Einsprache wurde somit verspätet erhoben. 4.3. Die Rekurrentin macht in der Einsprache unzutreffend geltend, die Veran- lagung nicht erhalten zu haben (vgl. Erw. 3.2.). Hinderungsgründe werden dagegen nicht geltend gemacht. Aus den Akten ergeben sich ebenso wenig Anhaltspunkte für einen Hinderungsgrund, mit dem die Verspätung erklärt werden könnte. Der angefochtene Einspracheentscheid ist insoweit zu be- stätigen.</w:t>
      </w:r>
    </w:p>
    <w:p>
      <w:r>
        <w:t>- 9 - 5. Zusammenfassend kann festgestellt werden, dass die Einsprache verspä- tet erfolgt ist. Die Steuerkommission Q._____ ist damit zu Recht nicht auf die Einsprache eingetreten. 6. Im Ergebnis erweist sich der Rekurs damit als unbegründet und ist abzu- weisen. 7. Bei diesem Verfahrensausgang sind die Kosten des Rekursverfahrens von der Rekurrentin zu tragen (§ 189 Abs. 1 StG). Es ist keine Parteientschädi- gung auszurichten (§ 189 Abs. 2 StG). Das Gesuch um unentgeltliche Rechtspflege vom 5. April 2022 bezog sich lediglich auf das Verfahren betreffend direkte Bundessteuer 2017 und be- trifft folglich nicht das vorliegende Rekursverfahren. Ohnehin müsste der Rekurs als aussichtslos bezeichnet werden, so dass ein Gesuch um unent- geltliche Rechtspflege abgewiesen werden müsste.</w:t>
      </w:r>
    </w:p>
    <w:p>
      <w:r>
        <w:t>- 10 - Das Gericht erkennt: 1. Der Rekurs wird abgewiesen. 2. Die Rekurrentin hat die Kosten des Rekursverfahrens, bestehend aus einer Staatsgebühr von CHF 1'000.00, der Kanzleigebühr von CHF 100.00 und den Auslagen von CHF 100.00, insgesamt CHF 1'200.00 bezahlen. 3. Es wird keine Parteientschädigung ausgerichtet. Zustellung an: die Vertreterin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19. Oktober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