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3-RV.2020.66 vom 25. Mai 2022</w:t>
      </w:r>
    </w:p>
    <w:p>
      <w:r>
        <w:t>Ag Spezialverwaltungsgericht, 2022-05-25, DE</w:t>
      </w:r>
    </w:p>
    <w:p>
      <w:r>
        <w:rPr>
          <w:b/>
        </w:rPr>
        <w:t xml:space="preserve">Quelle: </w:t>
      </w:r>
      <w:r>
        <w:t>https://mcp.opencaselaw.ch/entscheid/ag_spezialverwaltungsgericht_3-RV.2020.66</w:t>
      </w:r>
    </w:p>
    <w:p>
      <w:r>
        <w:t>FR: AG_SPEZIALVERWALTUNGSGERICHT 3-RV.2020.66 du 25 mai 2022</w:t>
      </w:r>
    </w:p>
    <w:p>
      <w:r>
        <w:t>IT: AG_SPEZIALVERWALTUNGSGERICHT 3-RV.2020.66 del 25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Gesuch vom 30. Mai 2019 beantragte A. beim Steueramt Q. den Erlass einer Haftungsverfügung betreffend die Kantons- und Gemeindesteuern 2007 sowie die direkte Bundessteuer 2007. Sie begründete dies mit der dauerhaften Zahlungsunfähigkeit ihres Ehemannes.</w:t>
      </w:r>
    </w:p>
    <w:p>
      <w:r>
        <w:rPr>
          <w:b/>
        </w:rPr>
        <w:t>E. 2</w:t>
      </w:r>
    </w:p>
    <w:p>
      <w:r>
        <w:t>Am 8. November 2019 fällte die Delegation der Steuerkommission Q. den folgenden Entscheid betreffend die Kantons- und Gemeindesteuern 2007: "Der Antrag um Haftungsverfügung für die definitiven Steuern des Jahres 2007 wird abgelehnt. Die Solidarhaftung bleibt bestehen."</w:t>
      </w:r>
    </w:p>
    <w:p>
      <w:r>
        <w:rPr>
          <w:b/>
        </w:rPr>
        <w:t>E. 3</w:t>
      </w:r>
    </w:p>
    <w:p>
      <w:r>
        <w:t>Gegen den Entscheid vom 8. November 2019 (Zustellung am 12. Novem- ber 2019) liess A. mit Schreiben vom 12. Dezember 2019 (Postaufgabe gleichentags) Einsprache erheben. Sie stellte den folgenden Antrag: "1. Der Anteil von Frau A. an der Gesamtsteuer der Steuerperiode 2007 sei mit einer Haftungsverfügung festzustellen."</w:t>
      </w:r>
    </w:p>
    <w:p>
      <w:r>
        <w:rPr>
          <w:b/>
        </w:rPr>
        <w:t>E. 4</w:t>
      </w:r>
    </w:p>
    <w:p>
      <w:r>
        <w:t>Mit Entscheid vom 5. März 2020 wies die Steuerkommission Q. die Einsprache ab.</w:t>
      </w:r>
    </w:p>
    <w:p>
      <w:r>
        <w:rPr>
          <w:b/>
        </w:rPr>
        <w:t>E. 5</w:t>
      </w:r>
    </w:p>
    <w:p>
      <w:r>
        <w:t>Den Einspracheentscheid vom 5. März 2020 (Zustellung am 20. März 2020) hat A. mit unter Berücksichtigung der, gestützt auf die "Verordnung über den Stillstand der Fristen in Zivil- und Verwaltungsverfahren zur Aufrechterhaltung der Justiz im Zusammenhang mit dem Coronavirus (COVID-19)" vom 20. März 2020, verlängerten Gerichtsferien rechtzeitigem Rekurs vom 5. Mai 2020 (Postaufgabe gleichentags) an das Spezialverwaltungsgericht, Abteilung Steuern, weiterziehen lassen. Sie stellt die folgenden Anträge: "1. Der Einsprache-Entscheid vom 5. März 2020 sei aufzuheben und die Steu- erkommission Q. sei anzuweisen, den Anteil von Frau A. an der Gesamtsteuer der Steuerperiode 2007 mit einer Haftungsverfügung festzustellen." 2. Unter Kosten- und Entschädigungsfolge zulasten des Staates Aargau." Auf die Begründung wird, soweit für die Entscheidung erforderlich, in den Erwägungen eingegangen.</w:t>
      </w:r>
    </w:p>
    <w:p>
      <w:r>
        <w:t>- 3 -</w:t>
      </w:r>
    </w:p>
    <w:p>
      <w:r>
        <w:rPr>
          <w:b/>
        </w:rPr>
        <w:t>E. 6</w:t>
      </w:r>
    </w:p>
    <w:p>
      <w:r>
        <w:t>Das Steueramt bzw. die Steuerkommission Q. und das Kantonale Steueramt beantragen die Abweisung des Rekurses.</w:t>
      </w:r>
    </w:p>
    <w:p>
      <w:r>
        <w:rPr>
          <w:b/>
        </w:rPr>
        <w:t>E. 7</w:t>
      </w:r>
    </w:p>
    <w:p>
      <w:r>
        <w:t>A. hat eine Replik erstatten lassen.</w:t>
      </w:r>
    </w:p>
    <w:p>
      <w:r>
        <w:t>- 4 - Das 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