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3-RV.2020.22 vom 23. März 2023</w:t>
      </w:r>
    </w:p>
    <w:p>
      <w:r>
        <w:t>Ag Spezialverwaltungsgericht, 2023-03-23, DE</w:t>
      </w:r>
    </w:p>
    <w:p>
      <w:r>
        <w:rPr>
          <w:b/>
        </w:rPr>
        <w:t xml:space="preserve">Quelle: </w:t>
      </w:r>
      <w:r>
        <w:t>https://mcp.opencaselaw.ch/entscheid/ag_spezialverwaltungsgericht_3-RV.2020.22</w:t>
      </w:r>
    </w:p>
    <w:p>
      <w:r>
        <w:t>FR: AG_SPEZIALVERWALTUNGSGERICHT 3-RV.2020.22 du 23 mars 2023</w:t>
      </w:r>
    </w:p>
    <w:p>
      <w:r>
        <w:t>IT: AG_SPEZIALVERWALTUNGSGERICHT 3-RV.2020.22 del 23 marzo 2023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Die öffentliche Beurkundung fand am 15. Dezember 2017 statt. Auch Nut- zen und Gefahr ging gleichentags über (vgl. Ziffer V.1. des Kaufvertrags). Der Zeitpunkt der öffentlichen Beurkundung macht gemäss Art. 216 Abs. 1 OR beim Grundstückkauf den Vertragsschluss gültig. Dieser stellt den steu- erbaren Einkommenszugang bzw. den Zeitpunkt des Vermögensübergan- ges dar. Aus diesem Grund hängt die Besteuerung nicht – wie von den Rekurrenten dargestellt – von der Vertragserfüllung, d.h. der Eigentums- übertragung mittels Eintragung der Handänderung im Grundbuch ab. Folg- lich wird den Rekurrenten das gesamte Eigentum der Liegenschaft im Jahr 2017 angerechnet.</w:t>
      </w:r>
    </w:p>
    <w:p>
      <w:r>
        <w:rPr>
          <w:b/>
        </w:rPr>
        <w:t>E. 5.2</w:t>
      </w:r>
    </w:p>
    <w:p>
      <w:r>
        <w:t>Daran ändert auch die von den Rekurrenten geltend gemachte fehlende "Grundvoraussetzung", die Räumung der Liegenschaft durch den Ex- Mann, nichts. Im Kaufvertrag vom 15. Dezember 2017 wurde zwischen der Rekurrentin und ihrem Ex-Mann keine Bedingung für das Zustandekom- men des Vertrages vereinbart. Der Argumentation der Rekurrenten steht insbesondere Ziffer V.6. des Kaufvertrages entgegen, worin festgehalten wurde, dass das "Kaufsobjekt ungeräumt und ungereinigt übergeben" wor- den sei. "Die Käuferschaft kann ab dem Antrittstermin über das Kaufsobjekt frei verfügen." Allfällig verbliebene Pendenzen bezüglich Räumung und Reinigung der Liegenschaft würden die Parteien nach Vertragsunterzeich- nung selber vor Ort bis am 31. Dezember 2017 feststellen und gegebenen- falls ausseramtlich regeln. Folglich ist die Behauptung der Rekurrenten, die Räumung sei Vorausset- zung für den Grundbucheintrag gewesen, unbeachtlich. Unter diesen Um- ständen kann im Zeitpunkt der öffentlichen Beurkundung nicht von einer "unsicheren Forderung" ausgegangen werden. Der Liegenschaftskauf fällt bei der Rekurrentin deshalb in das Steuerjahr 2017 (vgl. § 91 StG).</w:t>
      </w:r>
    </w:p>
    <w:p>
      <w:r>
        <w:rPr>
          <w:b/>
        </w:rPr>
        <w:t>E. 6</w:t>
      </w:r>
    </w:p>
    <w:p>
      <w:r>
        <w:t>Im Übrigen kann festgehalten werden, dass im Kaufvertrag vom 15. De- zember 2017 einerseits vereinbart wurde, dass der Kaufpreis durch Ver- rechnung und Schuldübernahme (Hypothek) getilgt werde. Andererseits war die Kaufpreisrestanz von CHF 107'500.00 innert drei Arbeitstagen seit</w:t>
      </w:r>
    </w:p>
    <w:p>
      <w:r>
        <w:t>- 11 - Unterzeichnung des Kaufvertrages zur Zahlung fällig. Es wurde nichts gel- tend gemacht, dass diese Vereinbarung nicht eingehalten worden wäre. Somit war am 31. Dezember 2017 der Kaufpreis getilgt und es ist keine Kaufpreisschuld zu berücksichtigen.</w:t>
      </w:r>
    </w:p>
    <w:p>
      <w:r>
        <w:rPr>
          <w:b/>
        </w:rPr>
        <w:t>E. 7</w:t>
      </w:r>
    </w:p>
    <w:p>
      <w:r>
        <w:t>Da vorliegend nur der Vermögenssteuerwert betroffen ist (vgl. Steuerver- anlagung 2017), sind Ausführungen zum Eigenmietwert obsolet.</w:t>
      </w:r>
    </w:p>
    <w:p>
      <w:r>
        <w:rPr>
          <w:b/>
        </w:rPr>
        <w:t>E. 8</w:t>
      </w:r>
    </w:p>
    <w:p>
      <w:r>
        <w:t>Zusammenfassend ist festzuhalten, dass die Vorinstanz den Liegen- schaftskauf zu Recht im Jahr 2017 erfasst hat. Der gesamte Vermögens- steuerwert der Liegenschaft in Q. ist im Jahr 2017 zu berücksichtigen, eine Kaufpreisschuld bestand per 31. Dezember 2017 nicht mehr. Der Rekurs ist dementsprechend abzuweisen.</w:t>
      </w:r>
    </w:p>
    <w:p>
      <w:r>
        <w:rPr>
          <w:b/>
        </w:rPr>
        <w:t>E. 9</w:t>
      </w:r>
    </w:p>
    <w:p>
      <w:r>
        <w:t>Bei diesem Verfahrensausgang haben die Rekurrenten die Kosten des Re- kursverfahrens zu tragen (§ 189 Abs. 1 StG). Es ist keine Parteientschädi- gung auszurichten (§ 189 Abs. 2 StG).</w:t>
      </w:r>
    </w:p>
    <w:p>
      <w:r>
        <w:t>- 12 - Das 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