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3-RV.2020.173 vom 20. April 2023</w:t>
      </w:r>
    </w:p>
    <w:p>
      <w:r>
        <w:t>Ag Spezialverwaltungsgericht, 2023-04-20, DE</w:t>
      </w:r>
    </w:p>
    <w:p>
      <w:r>
        <w:rPr>
          <w:b/>
        </w:rPr>
        <w:t xml:space="preserve">Quelle: </w:t>
      </w:r>
      <w:r>
        <w:t>https://mcp.opencaselaw.ch/entscheid/ag_spezialverwaltungsgericht_3-RV.2020.173</w:t>
      </w:r>
    </w:p>
    <w:p>
      <w:r>
        <w:t>FR: AG_SPEZIALVERWALTUNGSGERICHT 3-RV.2020.173 du 20 avril 2023</w:t>
      </w:r>
    </w:p>
    <w:p>
      <w:r>
        <w:t>IT: AG_SPEZIALVERWALTUNGSGERICHT 3-RV.2020.173 del 20 aprile 2023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Beim Vermögensvergleich werden der Ermessensveranlagung die Vermö- gensentwicklung und der Lebensaufwand zu Grunde gelegt. Es handelt sich dabei um eine Methode, die unter Berücksichtigung des Lebens- oder Privataufwandes den Rückschluss auf das Einkommen des Steuerpflichti- gen erlaubt. Sie beruht auf folgendem Vorgehen: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