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3-RV.2020.144 vom 18. November 2021</w:t>
      </w:r>
    </w:p>
    <w:p>
      <w:r>
        <w:t>Ag Spezialverwaltungsgericht, 2021-11-18, DE</w:t>
      </w:r>
    </w:p>
    <w:p>
      <w:r>
        <w:rPr>
          <w:b/>
        </w:rPr>
        <w:t xml:space="preserve">Quelle: </w:t>
      </w:r>
      <w:r>
        <w:t>https://mcp.opencaselaw.ch/entscheid/ag_spezialverwaltungsgericht_3-RV.2020.144</w:t>
      </w:r>
    </w:p>
    <w:p>
      <w:r>
        <w:t>FR: AG_SPEZIALVERWALTUNGSGERICHT 3-RV.2020.144 du 18 novembre 2021</w:t>
      </w:r>
    </w:p>
    <w:p>
      <w:r>
        <w:t>IT: AG_SPEZIALVERWALTUNGSGERICHT 3-RV.2020.144 del 18 novembre 2021</w:t>
      </w:r>
    </w:p>
    <w:p>
      <w:pPr>
        <w:pStyle w:val="Heading2"/>
      </w:pPr>
      <w:r>
        <w:t>Erwägungen</w:t>
      </w:r>
    </w:p>
    <w:p>
      <w:r>
        <w:rPr>
          <w:b/>
        </w:rPr>
        <w:t>E. 6.1</w:t>
      </w:r>
    </w:p>
    <w:p>
      <w:r>
        <w:t>Die Rekurrentin hat den Unrichtigkeitsbeweis im Einspracheverfahren an- getreten, indem sie in der Einsprache geltend macht, dass sich aufgrund der in der Zwischenzeit erstellten Buchhaltung wesentlich abweichende Zahlen ergäben, als die der Ermessensveranlagung zugrunde gelegten Zahlen. Im Folgenden wird die Frage geprüft, ob der Rekurrentin der Unrichtigkeits- nachweis gelungen ist und ob die Steuerkommission Q. ihr Ermessen pflichtgemäss ausgeübt hat.</w:t>
      </w:r>
    </w:p>
    <w:p>
      <w:r>
        <w:rPr>
          <w:b/>
        </w:rPr>
        <w:t>E. 6.2.1</w:t>
      </w:r>
    </w:p>
    <w:p>
      <w:r>
        <w:t>Wie bereits dargelegt war die Rekurrentin im Steuerjahr 2018 selbständig erwerbstätig, hat es aber unterlassen, eine ordnungsgemässe Buchhaltung zu führen. Sie führt aus, sie arbeite in einem Bereich, bei dem Diskretion sehr wichtig sei und deshalb bar bezahlt werde. Im Rekurs liess die Rekur- rentin ausführen, dass "der Reingewinn von CHF 31'861.- viel realistischer</w:t>
      </w:r>
    </w:p>
    <w:p>
      <w:r>
        <w:t>- 7 - ist als das von der Steuerbehörde festgelegte steuerbare Einkommen von CHF 48'000.-." Die Rekurrentin sei immer wieder auslandabwesend oder krank gewesen.</w:t>
      </w:r>
    </w:p>
    <w:p>
      <w:r>
        <w:rPr>
          <w:b/>
        </w:rPr>
        <w:t>E. 6.2.2</w:t>
      </w:r>
    </w:p>
    <w:p>
      <w:r>
        <w:t>Es ist anerkannt, dass im Erotikgewerbe ein bargeldintensiver Geschäfts- verkehr vorliegt, bei dem die korrekte Führung eines Kassabuches für die Beurteilung der ordnungsgemässen Buchführung entscheidend ist. Im Ein- spracheverfahren wurden Kontodetails eingereicht und geltend gemacht, es seien keine Buchhaltungsbelege vorhanden. Entsprechend korrespon- dieren die von der Rekurrentin mit E-Mail vom 20. Mai 2020 eingereichten Belege (hauptsächlich Coop, Migros, Import Parfumerie) nicht mit den Kon- todetails. Mit der Steuererklärung 2018 (Druckdatum 6. März 2020) wurde schliesslich ein Reingewinn von CHF 31'861.00 deklariert. Jedoch liegt auch dieser Deklaration kein ordnungsgemäss geführtes Kassabuch bzw. keine ordnungsgemäss geführte Buchhaltung oder Aufzeichnungen zu- grunde.</w:t>
      </w:r>
    </w:p>
    <w:p>
      <w:r>
        <w:rPr>
          <w:b/>
        </w:rPr>
        <w:t>E. 6.2.3</w:t>
      </w:r>
    </w:p>
    <w:p>
      <w:r>
        <w:t>Es liegen nach dem Gesagten keine ordnungsgemäss geführten Aufzeich- nungen oder eine Buchhaltung vor, auf die sich die Vorinstanz hätte stützen können. Das wird von der Rekurrentin nicht bestritten. Vor diesem Hinter- grund ist der Rekurrentin der Nachweis der offensichtlichen Unrichtigkeit des ermessensweise festgesetzten Einkommens aus selbständiger Er- werbstätigkeit im Einspracheverfahren misslungen. Die Steuerkommission Q. hat die Einsprache daher zu Recht abgewiesen.</w:t>
      </w:r>
    </w:p>
    <w:p>
      <w:r>
        <w:rPr>
          <w:b/>
        </w:rPr>
        <w:t>E. 7.1</w:t>
      </w:r>
    </w:p>
    <w:p>
      <w:r>
        <w:t>Eine Ermessensveranlagung hat pflichtgemäss zu sein (§ 191 Abs. 3 StG). Der steuerlich massgebende Sachverhalt ist so weit wie möglich abzuklä- ren und die Verhältnisse des Einzelfalls sind zu würdigen. Ziel der Ermes- sensveranlagung ist eine Veranlagung, die der Wirklichkeit möglichst nahe kommt. Wegen der Unsicherheiten über die tatsächlichen Verhältnisse ver- bleibt der Veranlagungsbehörde allerdings regelmässig ein erheblicher Er- messensspielraum, wobei der Ermessensspielraum für die Veranlagungs- behörde umso höher ist, je grösser die Ungewissheit über die tatsächlichen Verhältnisse ist. Bei der Ermessensbetätigung darf die Veranlagungsbe- hörde eher zu hoch gehen, um zu vermeiden, dass derjenige Steuerpflich- tige, welcher für die Überprüfbarkeit seiner steuerlichen Verhältnisse Sorge getragen hat, höhere Steuern bezahlen muss als derjenige, bei welchem eine Nachprüfung unmöglich ist (Kommentar zum Aargauer Steuergesetz, a.a.O., § 191 StG N 25 f, mit Hinweisen).</w:t>
      </w:r>
    </w:p>
    <w:p>
      <w:r>
        <w:t>- 8 -</w:t>
      </w:r>
    </w:p>
    <w:p>
      <w:r>
        <w:rPr>
          <w:b/>
        </w:rPr>
        <w:t>E. 7.2</w:t>
      </w:r>
    </w:p>
    <w:p>
      <w:r>
        <w:t>Die Steuerkommission Q. hat der Ermessensveranlagung für das Jahr 2018 ein Einkommen von CHF 50'000.00 und Abzüge von CHF 2'000.00 zugrunde gelegt. Die Rekurrentin ist per 1. Dezember 2018 von S. nach Q. zugezogen. Ob die Vorinstanz die Steuerakten der Rekurrentin von S. beigezogen hat, ist aus den Akten nicht ersichtlich. Die Vorinstanz traf jedoch Abklärungen bei der SVA Aargau und beantragte den Auszug aus dem Individuellen Konto.</w:t>
      </w:r>
    </w:p>
    <w:p>
      <w:r>
        <w:rPr>
          <w:b/>
        </w:rPr>
        <w:t>E. 7.3</w:t>
      </w:r>
    </w:p>
    <w:p>
      <w:r>
        <w:t>Angesichts des bargeldintensiven Geschäftsbetriebs ohne beweiskräftiges Kassabuch und mit weitgehend fehlenden Belegen bezüglich der Haupttä- tigkeit der Rekurrentin war es zu keinem Zeitpunkt möglich, den tatsächli- chen Geschäftsgang nachzuvollziehen. Finanzkennzahlen konnten auf- grund der nicht verifizierbaren Buchhaltung weder erhoben noch mit Bran- chenkennzahlen verglichen werden. Auch ein Vermögensvergleich war aufgrund der Unsicherheit bezüglich Lebenshaltungskosten und Eigenka- pital nicht durchführbar. Vor dem Hintergrund dieser grossen Ungewissheit ist eine Festsetzung des Einkommens auf CHF 50'000.00 nicht als Ermes- sensüberschreitung zu beurteilen. Die Vorbringen der Rekurrentin, sie sei oft landesabwesend oder krank gewesen, sind allesamt unbelegt und des- halb nicht zu berücksichtigen. Die Steuerkommission Q. hat die Ermessensveranlagung im Rahmen ihres Ermessensspielraumes pflicht- gemäss vorgenommen.</w:t>
      </w:r>
    </w:p>
    <w:p>
      <w:r>
        <w:rPr>
          <w:b/>
        </w:rPr>
        <w:t>E. 8</w:t>
      </w:r>
    </w:p>
    <w:p>
      <w:r>
        <w:t>Im Ergebnis ist die Ermessensveranlagung zu Recht erfolgt und der Un- richtigkeitsnachweis misslungen. Zudem wurde das Ermessen durch die Steuerkommission Q. pflichtgemäss ausgeübt. Der Rekurs erweist sich damit als unbegründet und ist abzuweisen.</w:t>
      </w:r>
    </w:p>
    <w:p>
      <w:r>
        <w:rPr>
          <w:b/>
        </w:rPr>
        <w:t>E. 9</w:t>
      </w:r>
    </w:p>
    <w:p>
      <w:r>
        <w:t>Bei diesem Verfahrensausgang hat die Rekurrentin die Kosten des Rekurs- verfahrens zu tragen (§ 189 Abs. 1 StG). Es ist keine Parteikostenentschä- digung auszurichten (§ 189 Abs. 2 StG).</w:t>
      </w:r>
    </w:p>
    <w:p>
      <w:r>
        <w:t>- 9 - Das Gericht erkennt: 1. Der Rekurs wird abgewiesen. 2. Die Rekurrentin hat die Kosten des Rekursverfahrens, bestehend aus einer Staatsgebühr von CHF 500.00, der Kanzleigebühr von CHF 120.00 und den Auslagen von CHF 100.00, zusammen CHF 720.00 zu bezahlen. 3. Es wird keine Parteikostenentschädigung ausgerichtet. Zustellung an: den Vertreter der Rekurrentin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18. November 2021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