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3-RV.2018.161 vom 25. Februar 2021</w:t>
      </w:r>
    </w:p>
    <w:p>
      <w:r>
        <w:t>Ag Spezialverwaltungsgericht, 2021-02-25, DE</w:t>
      </w:r>
    </w:p>
    <w:p>
      <w:r>
        <w:rPr>
          <w:b/>
        </w:rPr>
        <w:t xml:space="preserve">Quelle: </w:t>
      </w:r>
      <w:r>
        <w:t>https://mcp.opencaselaw.ch/entscheid/ag_spezialverwaltungsgericht_3-RV.2018.161</w:t>
      </w:r>
    </w:p>
    <w:p>
      <w:r>
        <w:t>FR: AG_SPEZIALVERWALTUNGSGERICHT 3-RV.2018.161 du 25 février 2021</w:t>
      </w:r>
    </w:p>
    <w:p>
      <w:r>
        <w:t>IT: AG_SPEZIALVERWALTUNGSGERICHT 3-RV.2018.161 del 25 febbraio 2021</w:t>
      </w:r>
    </w:p>
    <w:p>
      <w:pPr>
        <w:pStyle w:val="Heading2"/>
      </w:pPr>
      <w:r>
        <w:t>Erwägungen</w:t>
      </w:r>
    </w:p>
    <w:p>
      <w:r>
        <w:rPr>
          <w:b/>
        </w:rPr>
        <w:t>E. 13</w:t>
      </w:r>
    </w:p>
    <w:p>
      <w:r>
        <w:t>Juni 2012 [2C_862/2011 und 2C_863/2011; Ertragsverzicht], vom 23. Juli 2003 [2A.602/2002] und vom 22. Mai 2003 [2A.590/2002], je mit</w:t>
      </w:r>
    </w:p>
    <w:p>
      <w:r>
        <w:t>- 8 - Hinweis auf die Judikatur; ASA 63 S. 671; AGVE 2004 S. 133; VGE vom</w:t>
      </w:r>
    </w:p>
    <w:p>
      <w:r>
        <w:rPr>
          <w:b/>
        </w:rPr>
        <w:t>E. 17</w:t>
      </w:r>
    </w:p>
    <w:p>
      <w:r>
        <w:t>März 2010 [WBE.2009.218]). Die steuerliche Behandlung als verdeckte Gewinnausschüttung setzt somit kumulativ voraus, dass - die Gesellschaft keine oder keine gleichwertige Gegenleistung erhält, - der Aktionär oder eine der Gesellschaft nahe stehende Person oder Un- ternehmung direkt oder indirekt einen Vorteil erhält, der einem Dritten unter gleichen Bedingungen nicht zugebilligt worden wäre, die Leistung also insofern ungewöhnlich ist, und - der Charakter dieser Leistung für die Gesellschaftsorgane erkennbar war. 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(Bundesgerichtsurteil vom 12. Mai 2020 [2C_926/ 2019], Erw. 2.3). 4.3.5. Die genannten Voraussetzungen einer geldwerten Leistung werden im Ein- spracheentscheid nicht erwähnt. Zudem wird nur gerade beim Fahrzeug- aufwand sinngemäss auf die genannten Kriterien eingegangen ("Zudem kann beim auf den Wohnsitzkanton eingelösten Fahrzeug von einem Pri- vatfahrzeug ausgegangen werde."). Bei den übrigen Aufrechnungen geld- werter Leistungen fehlt hingegen eine nur irgendwie nachvollziehbare Be- gründung. Damit wurde auch die Begründungspflicht verletzt, was ebenfalls zur Auf- hebung des Einspracheentscheides führen muss.</w:t>
      </w:r>
    </w:p>
    <w:p>
      <w:r>
        <w:t>- 9 - 5. In Gutheissung des Rekurses ist der Einspracheentscheid aufzuheben und die Angelegenheit nur nochmaligen Durchführung des Einspracheverfah- rens an die Vorinstanz zurückzuweisen. 6. Bei diesem Verfahrensausgang sind die Kosten des Rekursverfahrens auf die Staatskasse zu nehmen (§ 189 Abs. 1 StG). Der nicht vertretenen Re- kurrentin ist keine Parteientschädigung auszurichten (§ 189 Abs. 2 StG).</w:t>
      </w:r>
    </w:p>
    <w:p>
      <w:r>
        <w:t>- 10 -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