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3-BV.2019.1 vom 24. März 2022</w:t>
      </w:r>
    </w:p>
    <w:p>
      <w:r>
        <w:t>Ag Spezialverwaltungsgericht, 2022-03-24, DE</w:t>
      </w:r>
    </w:p>
    <w:p>
      <w:r>
        <w:rPr>
          <w:b/>
        </w:rPr>
        <w:t xml:space="preserve">Quelle: </w:t>
      </w:r>
      <w:r>
        <w:t>https://mcp.opencaselaw.ch/entscheid/ag_spezialverwaltungsgericht_3-BV.2019.1</w:t>
      </w:r>
    </w:p>
    <w:p>
      <w:r>
        <w:t>FR: AG_SPEZIALVERWALTUNGSGERICHT 3-BV.2019.1 du 24 mars 2022</w:t>
      </w:r>
    </w:p>
    <w:p>
      <w:r>
        <w:t>IT: AG_SPEZIALVERWALTUNGSGERICHT 3-BV.2019.1 del 24 marzo 2022</w:t>
      </w:r>
    </w:p>
    <w:p>
      <w:pPr>
        <w:pStyle w:val="Heading2"/>
      </w:pPr>
      <w:r>
        <w:t>Erwägungen</w:t>
      </w:r>
    </w:p>
    <w:p>
      <w:r>
        <w:rPr>
          <w:b/>
        </w:rPr>
        <w:t>E. 5.1</w:t>
      </w:r>
    </w:p>
    <w:p>
      <w:r>
        <w:t>Zusammenfassend ist das Verrechnungssteuerrecht in Bezug auf die Divi- dende der C. GmbH auf die Beschwerdeführerin nicht anwendbar, d.h. weder Art. 31 Abs. 1 VStG i.V.m. § 9 Abs. 3 VStV AG, noch subsidiär Art. 62 ff. OR. Daraus folgt, dass das Kantonale Steueramt nicht berechtigt ist, seinen der Beschwerdeführerin gegenüber bestehenden Anspruch auf Rückforderung der ungerechtfertigten Bereicherung auf dem Verfügungsweg geltend zu machen.</w:t>
      </w:r>
    </w:p>
    <w:p>
      <w:r>
        <w:rPr>
          <w:b/>
        </w:rPr>
        <w:t>E. 5.2</w:t>
      </w:r>
    </w:p>
    <w:p>
      <w:r>
        <w:t>Überdies ist das Kantonale Steueramt auch nicht berechtigt, seine Rück- forderung ausschliesslich gestützt auf die privatrechtlichen Regeln über die ungerechtfertigte Bereicherung nach Art. 62 OR ff. auf dem Verfügungsweg geltend zu machen und durchzusetzen (vgl. Erw. 2). Aber selbst wenn es diesen Weg beschreiten könnte, wäre das Spezialverwaltungsgericht nicht Beschwerdeinstanz.</w:t>
      </w:r>
    </w:p>
    <w:p>
      <w:r>
        <w:t>- 13 -</w:t>
      </w:r>
    </w:p>
    <w:p>
      <w:r>
        <w:rPr>
          <w:b/>
        </w:rPr>
        <w:t>E. 6</w:t>
      </w:r>
    </w:p>
    <w:p>
      <w:r>
        <w:t>Es sind daher in Gutheissung der Beschwerde die Verfügung des Kanto- nalen Steueramtes, Rechtsdienst, vom 28. März 2019 und der Entscheid des Kantonalen Steueramtes, Rechtsdienst, vom 7. Juni 2019 aufzuheben.</w:t>
      </w:r>
    </w:p>
    <w:p>
      <w:r>
        <w:rPr>
          <w:b/>
        </w:rPr>
        <w:t>E. 7</w:t>
      </w:r>
    </w:p>
    <w:p>
      <w:r>
        <w:t>Zum Klageweg erübrigen sich Ausführungen des Spezialverwaltungs- gerichts, da dieser nicht Gegenstand des vorliegenden Verfahrens bildet. Es ist dem Kantonalen Steueramt überlassen, diesen Weg zur Durchset- zung seines Rückforderungsanspruches gegenüber der Beschwerdeführe- rin zu beschreiten.</w:t>
      </w:r>
    </w:p>
    <w:p>
      <w:r>
        <w:rPr>
          <w:b/>
        </w:rPr>
        <w:t>E. 8.1</w:t>
      </w:r>
    </w:p>
    <w:p>
      <w:r>
        <w:t>Bei diesem Verfahrensausgang sind die Kosten des Beschwerdeverfah- rens auf die Staatskasse zu nehmen (Art. 54 VStG i.V.m. Art. 144 des Bun- desgesetzes über die direkte Bundessteuer [DBG] vom 14. Dezember 1990 [analog]).</w:t>
      </w:r>
    </w:p>
    <w:p>
      <w:r>
        <w:rPr>
          <w:b/>
        </w:rPr>
        <w:t>E. 8.2.1</w:t>
      </w:r>
    </w:p>
    <w:p>
      <w:r>
        <w:t>Ausserdem ist der Beschwerdeführerin für die Vertretung im Beschwerde- verfahren eine Parteikostenentschädigung auszurichten (Art. 54 VStG i.V.m. Art. 144 DBG [analog]). Die Kostennote der Vertreterin beläuft sich auf CHF 3'022.40. Sie basiert auf Stundenansätzen von CHF 240.00 bzw. CHF 330.00.</w:t>
      </w:r>
    </w:p>
    <w:p>
      <w:r>
        <w:rPr>
          <w:b/>
        </w:rPr>
        <w:t>E. 8.2.2</w:t>
      </w:r>
    </w:p>
    <w:p>
      <w:r>
        <w:t>Nach der Praxis des Spezialverwaltungsgerichts wird von einem maxima- len Stundenansatz von CHF 220.00 ausgegangen (SGE vom 24. Februar 2022 in Sachen E.S. [3-RV.2021.13]; vgl. auch VGE vom 5. April 2022 in Sachen T.W. [WBE.2021.289]). Daraus ergibt sich aufgrund der einge- reichten Kostennote eine Parteikostenentschädigung von CHF 2'683.15. Diese ist angemessen und auf die Staatskasse zu nehmen.</w:t>
      </w:r>
    </w:p>
    <w:p>
      <w:r>
        <w:t>- 14 - 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