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3-BU.2025.125 vom 21. Oktober 2025</w:t>
      </w:r>
    </w:p>
    <w:p>
      <w:r>
        <w:t>Ag Spezialverwaltungsgericht, 2025-10-21, DE</w:t>
      </w:r>
    </w:p>
    <w:p>
      <w:r>
        <w:rPr>
          <w:b/>
        </w:rPr>
        <w:t xml:space="preserve">Quelle: </w:t>
      </w:r>
      <w:r>
        <w:t>https://mcp.opencaselaw.ch/entscheid/ag_spezialverwaltungsgericht_3-BU.2025.125</w:t>
      </w:r>
    </w:p>
    <w:p>
      <w:r>
        <w:t>FR: AG_SPEZIALVERWALTUNGSGERICHT 3-BU.2025.125 du 21 octobre 2025</w:t>
      </w:r>
    </w:p>
    <w:p>
      <w:r>
        <w:t>IT: AG_SPEZIALVERWALTUNGSGERICHT 3-BU.2025.125 del 21 ottobre 2025</w:t>
      </w:r>
    </w:p>
    <w:p>
      <w:pPr>
        <w:pStyle w:val="Heading2"/>
      </w:pPr>
      <w:r>
        <w:t>Erwägungen</w:t>
      </w:r>
    </w:p>
    <w:p>
      <w:r>
        <w:rPr>
          <w:b/>
        </w:rPr>
        <w:t>E. 1</w:t>
      </w:r>
    </w:p>
    <w:p>
      <w:r>
        <w:t>Am 26. Januar 2024 wurde der A.____ (nachfolgend Angeklagte) die Steuererklärung 2023 zugestellt. Nachdem diese nicht eingegangen war, wurde die Angeklagte am 14. Januar 2025 erstmals gemahnt. Am 11. März 2025 erfolgte eine zweite, per A-Post Plus versandte Mahnung unter Ansetzung einer Frist bis am 10. April 2025 zur Einreichung der Steuer- erklärung 2023 inklusive aller Beilagen. Des Weiteren wurde die Ange- klagte auf die Folgen im Unterlassungsfall (insbesondere Busse bis CHF 10'000.00) hingewiesen.</w:t>
      </w:r>
    </w:p>
    <w:p>
      <w:r>
        <w:rPr>
          <w:b/>
        </w:rPr>
        <w:t>E. 2</w:t>
      </w:r>
    </w:p>
    <w:p>
      <w:r>
        <w:t>Da dem zuständigen Kantonalen Steueramt (KStA), Sektion juristische Per- sonen (JP), innert der Mahnfrist keine Steuererklärung zuging, wurde beim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w:t>
      </w:r>
    </w:p>
    <w:p>
      <w:r>
        <w:rPr>
          <w:b/>
        </w:rPr>
        <w:t>E. 3</w:t>
      </w:r>
    </w:p>
    <w:p>
      <w:r>
        <w:t>Mit Strafbefehl des KStA, Sektion Bezug, vom 17. Juni 2025 wurde der An- geklagten eine Busse von CHF 300.00 (zuzüglich Staatsgebühr/Auslagen von CHF 100.00) auferlegt.</w:t>
      </w:r>
    </w:p>
    <w:p>
      <w:r>
        <w:rPr>
          <w:b/>
        </w:rPr>
        <w:t>E. 3.1</w:t>
      </w:r>
    </w:p>
    <w:p>
      <w:r>
        <w:t>Der obsiegenden steuerpflichtigen Person ist für die Vertretung eine ange- messene Parteientschädigung auszurichten (§ 189 Abs. 2 StG). Davon kann abgewichen werden, wenn die obsiegende steuerpflichtige Person das Verfahren durch ihr Verhalten in der Vorinstanz verursacht hat (§ 189 Abs. 3 StG).</w:t>
      </w:r>
    </w:p>
    <w:p>
      <w:r>
        <w:rPr>
          <w:b/>
        </w:rPr>
        <w:t>E. 3.2</w:t>
      </w:r>
    </w:p>
    <w:p>
      <w:r>
        <w:t>Die Angeklagte hat die Steuererklärung trotz Mahnung nicht rechtzeitig ein- gereicht. Hinzu kommt, dass der Vertreter als Begründung in der Einspra- che lediglich die E-Mail vom 17. April 2025 mit der Steuererklärung einer unbeteiligten Drittperson und die am 26. April 2025 nachgereichte Steuer- erklärung aufführte. Anlässlich der Verhandlung teilte der Vertreter mit, es sei kein Fristerstreckungsgesuch beim KStA eingereicht worden, obschon dies grundsätzlich möglich gewesen wäre (Protokoll). Insofern hat die An- geklagte das Verfahren vor dem Spezialverwaltungsgericht zu einem we- sentlichen Teil verursacht. Dementsprechend ist keine Parteientschädi- gung auszurichten.</w:t>
      </w:r>
    </w:p>
    <w:p>
      <w:r>
        <w:t>- 8 - Der Präsident erkennt: 1. Das Strafverfahren wird eingestellt. 2. Die Verfahrenskosten werden auf die Staatskasse genommen. 3. Es wird keine Parteientschädigung ausgerichtet. Zustellung an: die Angeklagte den Vertreter der Angeklagten das Kantonale Steueramt, Sektion Bezug das Kantonale Steueramt, Sektion juristische Personen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- 9 - Aarau, 21. Oktober 2025 Spezialverwaltungsgericht Steuern Der Präsident: Die Gerichtsschreiberin: Heuscher Ha</w:t>
      </w:r>
    </w:p>
    <w:p>
      <w:r>
        <w:rPr>
          <w:b/>
        </w:rPr>
        <w:t>E. 3.2.1</w:t>
      </w:r>
    </w:p>
    <w:p>
      <w:r>
        <w:t>Die zivilrechtliche Verfahrenssukzession ist unter anderem im Bundesge- setz über Fusion, Spaltung, Umwandlung und Vermögensübertragung vom 3. Oktober 2003 (FusG) geregelt. Nach Art. 3 Abs. 1 FusG können Gesell- schaften fusionieren, indem die eine die andere übernimmt (Absorptionsfu- sion) oder sie sich zu einer neuen Gesellschaft zusammenschliessen (Kombinationsfusion). Mit der Fusion wird die übertragende Gesellschaft aufgelöst und mit der Eintragung der Fusion im Handelsregister gelöscht</w:t>
      </w:r>
    </w:p>
    <w:p>
      <w:r>
        <w:t>- 5 - (Art. 3 Abs. 2 FusG und Art. 21 Abs. 3 FusG). Nach Art. 22 Abs. 1 FusG wird die Fusion mit der Eintragung ins Handelsregister rechtswirksam. In diesem Zeitpunkt gehen alle Aktiven und Passiven der übertragenden Ge- sellschaft von Gesetzes wegen auf die übernehmende Gesellschaft über.</w:t>
      </w:r>
    </w:p>
    <w:p>
      <w:r>
        <w:rPr>
          <w:b/>
        </w:rPr>
        <w:t>E. 3.2.2</w:t>
      </w:r>
    </w:p>
    <w:p>
      <w:r>
        <w:t>Nach § 66 StG endet die Steuerpflicht mit dem Abschluss der Liquidation, mit der Verlegung des Sitzes oder ihrer tatsächlichen Verwaltung (§ 66 Abs. 1 StG). Wird eine juristische Person im Zuge einer Umwandlung oder Fusion ohne zivilrechtliche Liquidation aufgelöst, endet die Steuerpflicht dieser juristischen Person per Übernahmestichtag (Kommentar zum Aar- gauer Steuergesetz, 5. Auflage, Muri-Bern 2023, § 66 StG N 12).</w:t>
      </w:r>
    </w:p>
    <w:p>
      <w:r>
        <w:rPr>
          <w:b/>
        </w:rPr>
        <w:t>E. 3.2.3</w:t>
      </w:r>
    </w:p>
    <w:p>
      <w:r>
        <w:t>Gemäss § 6 Abs. 1 StG haben für eine durch Vereinigung, Umwandlung oder Übernahme aufgelöste juristische Person die Rechtsnachfolgerinnen die Steuererklärung abzugeben, alle weiteren Verfahrenspflichten zu erfül- len und die schon geschuldeten oder noch festzusetzenden Steuern zu be- zahlen. Damit wird die steuerrechtliche Verfahrenssukzession geregelt (Kommentar zum Aargauer Steuergesetz, a.a.O., § 6 StG N 2 und N 4 f. [insbesondere zur Steuersukzession bei der Auf- bzw. Abspaltung: § 6 StG N 7 und 8]).</w:t>
      </w:r>
    </w:p>
    <w:p>
      <w:r>
        <w:rPr>
          <w:b/>
        </w:rPr>
        <w:t>E. 3.2.4</w:t>
      </w:r>
    </w:p>
    <w:p>
      <w:r>
        <w:t>Insofern bewirkt die Verfahrenssukzession zivilrechtlich den Übergang sämtlicher Aktiven und Passiven auf die Rechtsnachfolgerin; steuerrecht- lich übernimmt die Nachfolgerin die Verfahrenspflichten der aufgelösten ju- ristischen Person. Es fragt sich vorliegend, inwiefern sich die Verfahrens- sukzession strafrechtlich auf die Nachfolgerin auswirkt.</w:t>
      </w:r>
    </w:p>
    <w:p>
      <w:r>
        <w:rPr>
          <w:b/>
        </w:rPr>
        <w:t>E. 3.2.5</w:t>
      </w:r>
    </w:p>
    <w:p>
      <w:r>
        <w:t>Da Art. 102 StGB an einen juristischen Unternehmensbegriff anknüpft, ent- fällt eine Strafbarkeit bei nach der Anlasstat vollzogenem Rechtskleidwech- sel, falls dieser den Untergang des ursprünglichen Unternehmensträgers bewirkt. Es würde gegen Art. 1 StGB sowie Art. 32 Bundesverfassung der Schweizerischen Eidgenossenschaft vom 18. April 1999 (BV) verstossen, den Rechtsnachfolger in derartigen Konstellationen zu bestrafen, kennt das Strafrecht doch - analog - auch keine Haftung der Erben als Rechtsnach- folger eines verstorbenen Individualstraftäters. Ausgeschlossen ist eine Bestrafung folglich etwa bei Fusionen (Kombination sowie Absorption, falls das delinquierende Unternehmen durch einen anderen Rechtsträger ab- sorbiert wird), da die ursprüngliche Gesellschaft hier aufgelöst und im Han- delsregister gelöscht wird und ein neuer, eigenständiger Rechtsträger ent- steht (vgl. Art. 3 Abs. 2 FusG; D. Graf, StGB Annotierter Kommentar, 2. Auflage, Bern 2025, Art. 102 StGB N 33; a. M. BStGer, CN.2024.18 vom 19. August 2024).</w:t>
      </w:r>
    </w:p>
    <w:p>
      <w:r>
        <w:t>- 6 -</w:t>
      </w:r>
    </w:p>
    <w:p>
      <w:r>
        <w:rPr>
          <w:b/>
        </w:rPr>
        <w:t>E. 3.2.6</w:t>
      </w:r>
    </w:p>
    <w:p>
      <w:r>
        <w:t>Die Strafe einer aufgelösten juristischen Person geht demzufolge nicht auf die Rechtsnachfolgerin über.</w:t>
      </w:r>
    </w:p>
    <w:p>
      <w:r>
        <w:rPr>
          <w:b/>
        </w:rPr>
        <w:t>E. 3.3</w:t>
      </w:r>
    </w:p>
    <w:p>
      <w:r>
        <w:t>Da die Angeklagte vor der Anklageerhebung am tt.mm. 2025 aus dem Handelsregister gelöscht worden ist, ist das Strafverfahren einzustellen (vgl. Art. 329 Abs. 1 lit. c und Abs. 4 StPO; Kommentar zur Schweizeri- schen StPO, 3. Auflage, Zürich 2020, Art. 329 StPO N 13).</w:t>
      </w:r>
    </w:p>
    <w:p>
      <w:r>
        <w:t>- 7 - 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Aufgrund der Löschung der Angeklagten aus dem Handelsregister ist das Verfahren einzustellen, weshalb – insbesondere auch aufgrund der Un- schuldsvermutung – nicht von einem Unterliegen der Angeklagten ausge- gangen werden kann. Die Verfahrenskosten sind daher auf die Staatskasse zu nehmen (vgl. auch § 251 Abs. 1 i.V.m. § 197 Abs. 4 StG und § 31 Abs. 3 Satz 2 VRPG, wonach die Kosten aus Billigkeitsgründen auf die Staats- kasse genommen werden können). 3.</w:t>
      </w:r>
    </w:p>
    <w:p>
      <w:r>
        <w:rPr>
          <w:b/>
        </w:rPr>
        <w:t>E. 4</w:t>
      </w:r>
    </w:p>
    <w:p>
      <w:r>
        <w:t>Gegen diesen Strafbefehl erhob die Angeklagte mit Schreiben vom 16. Juli 2025 Einsprache.</w:t>
      </w:r>
    </w:p>
    <w:p>
      <w:r>
        <w:rPr>
          <w:b/>
        </w:rPr>
        <w:t>E. 5</w:t>
      </w:r>
    </w:p>
    <w:p>
      <w:r>
        <w:t>In seiner Stellungnahme vom 30. Juli 2025 beantragte das KStA JP die Ab- weisung der Einsprache.</w:t>
      </w:r>
    </w:p>
    <w:p>
      <w:r>
        <w:rPr>
          <w:b/>
        </w:rPr>
        <w:t>E. 6</w:t>
      </w:r>
    </w:p>
    <w:p>
      <w:r>
        <w:t>Am 18. September 2025 erhob das KStA, Sektion Bezug, beim Spezialver- waltungsgericht gegen die Angeklagte folgende Anklage: "1. Gestützt auf den angefochtenen Strafbefehl sei das Verfahren vor Spezial- verwaltungsgericht, Abteilung Steuern gemäss § 249 ff. des Steuergeset- zes vom 15. Dezember 1998 durchzuführen. 2. Die angeklagte Person sei im Sinne des Strafbefehls zu bestrafen."</w:t>
      </w:r>
    </w:p>
    <w:p>
      <w:r>
        <w:rPr>
          <w:b/>
        </w:rPr>
        <w:t>E. 7</w:t>
      </w:r>
    </w:p>
    <w:p>
      <w:r>
        <w:t>Mit Verfügung vom 23. September 2025 wurde die Angeklagte bzw. deren Organ auf den 21. Oktober 2025 vorgeladen. Gleichzeitig wurde die An- klage zugestellt.</w:t>
      </w:r>
    </w:p>
    <w:p>
      <w:r>
        <w:t>- 3 -</w:t>
      </w:r>
    </w:p>
    <w:p>
      <w:r>
        <w:rPr>
          <w:b/>
        </w:rPr>
        <w:t>E. 8</w:t>
      </w:r>
    </w:p>
    <w:p>
      <w:r>
        <w:t>Das Spezialverwaltungsgericht hat beim KStA weitere Abklärungen vorge- nommen (E-Mails vom 16. und 20. Oktober 2025).</w:t>
      </w:r>
    </w:p>
    <w:p>
      <w:r>
        <w:rPr>
          <w:b/>
        </w:rPr>
        <w:t>E. 9</w:t>
      </w:r>
    </w:p>
    <w:p>
      <w:r>
        <w:t>Anlässlich der Verhandlung vor dem Spezialverwaltungsgericht wurde B._____, Vertreter der Angeklagten, befragt (Protokoll der Verhandlung vom 21. Oktober 2025 [nachfolgend Protokoll]).</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