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3-BU.2024.49 vom 14. Mai 2024</w:t>
      </w:r>
    </w:p>
    <w:p>
      <w:r>
        <w:t>Ag Spezialverwaltungsgericht, 2024-05-14, DE</w:t>
      </w:r>
    </w:p>
    <w:p>
      <w:r>
        <w:rPr>
          <w:b/>
        </w:rPr>
        <w:t xml:space="preserve">Quelle: </w:t>
      </w:r>
      <w:r>
        <w:t>https://mcp.opencaselaw.ch/entscheid/ag_spezialverwaltungsgericht_3-BU.2024.49</w:t>
      </w:r>
    </w:p>
    <w:p>
      <w:r>
        <w:t>FR: AG_SPEZIALVERWALTUNGSGERICHT 3-BU.2024.49 du 14 mai 2024</w:t>
      </w:r>
    </w:p>
    <w:p>
      <w:r>
        <w:t>IT: AG_SPEZIALVERWALTUNGSGERICHT 3-BU.2024.49 del 14 maggio 2024</w:t>
      </w:r>
    </w:p>
    <w:p>
      <w:pPr>
        <w:pStyle w:val="Heading2"/>
      </w:pPr>
      <w:r>
        <w:t>Erwägungen</w:t>
      </w:r>
    </w:p>
    <w:p>
      <w:r>
        <w:rPr>
          <w:b/>
        </w:rPr>
        <w:t>E. 1</w:t>
      </w:r>
    </w:p>
    <w:p>
      <w:r>
        <w:t>Am 23. Februar 2023 wurde A.______ (nachfolgend Angeklagte) die Grundstückgewinnsteuererklärung 2022 zugestellt. Nachdem diese nicht eingegangen war, wurde die Angeklagte am 26. April 2023 erstmals gemahnt. Am 2. Juni 2023 erfolgte eine zweite, per A-Post Plus versandte Mahnung unter Ansetzung einer Frist von 20 Tagen zur Einreichung der Grundstückgewinnsteuererklärung 2022 inklusive aller Beilagen. Des Wei- teren wurde die Angeklagte auf die Folgen im Unterlassungsfall (insbeson- 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Ehegatte der Angeklagten war Alleineigentümer der Liegenschaften STW aaa, MIT bbb und MIT ccc. Im Jahr 2022 verkaufte er sein Eigentum (vgl. Kaufvertrag vom 16. Dezember 2022). Mit der Veräusserung wurde der Ehegatte der Angeklagten für den Grundstückgewinn steuerpflichtig. Demgegenüber war die Angeklagte nicht Eigentümerin dieser Liegenschaften. Damit traf sie auch keine Verfahrenspflicht, dem zuständigen Gemeindesteueramt Q._____ die Grund- stückgewinnsteuererklärung 2022 einzureichen.</w:t>
      </w:r>
    </w:p>
    <w:p>
      <w:r>
        <w:rPr>
          <w:b/>
        </w:rPr>
        <w:t>E. 1.3</w:t>
      </w:r>
    </w:p>
    <w:p>
      <w:r>
        <w:t>Folglich hat die Angeklagte nicht gegen § 235 Abs. 1 StG verstossen und ist dementsprechend freizusprechen.</w:t>
      </w:r>
    </w:p>
    <w:p>
      <w:r>
        <w:t>- 5 -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die vom KStA beantragte Busse von CHF 125.00 nicht bestätigt wird, sind der Angeklagten keine Verfahrenskosten aufzuerlegen. Nicht vertretenen Angeklagten wird keine Parteientschädigung ausgerichtet (§ 189 Abs. 2 StG).</w:t>
      </w:r>
    </w:p>
    <w:p>
      <w:r>
        <w:t>- 6 - Der Präsident erkennt:</w:t>
      </w:r>
    </w:p>
    <w:p>
      <w:r>
        <w:rPr>
          <w:b/>
        </w:rPr>
        <w:t>E. 2</w:t>
      </w:r>
    </w:p>
    <w:p>
      <w:r>
        <w:t>Da dem zuständigen Gemeindesteueramt Q._____ innert Mahnfrist keine Grundstückgewinnsteuererklärung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 wie im vorliegenden Verfahren - trotz Vorladung nicht zur Verhandlung und wurde vorgängig nicht ausdrücklich um die An- setzung eines neuen Gerichtstermins ersucht, geht das Spezialverwal- tungsgericht davon aus, dass das Gericht ermächtigt wird, das Urteil in Ab- wesenheit aufgrund der Akten zu fällen (§ 250 Abs. 2 lit. c StG, Hinweis in der Vorladung).</w:t>
      </w:r>
    </w:p>
    <w:p>
      <w:r>
        <w:t>- 4 - II. 1.</w:t>
      </w:r>
    </w:p>
    <w:p>
      <w:r>
        <w:rPr>
          <w:b/>
        </w:rPr>
        <w:t>E. 3</w:t>
      </w:r>
    </w:p>
    <w:p>
      <w:r>
        <w:t>Mit Strafbefehl des KStA, Sektion Bezug, vom 21. September 2023 wurde der Angeklagten eine Busse von CHF 125.00 (zuzüglich Staatsge- bühr/Auslagen von CHF 100.00) auferlegt.</w:t>
      </w:r>
    </w:p>
    <w:p>
      <w:r>
        <w:rPr>
          <w:b/>
        </w:rPr>
        <w:t>E. 4</w:t>
      </w:r>
    </w:p>
    <w:p>
      <w:r>
        <w:t>Gegen diesen Strafbefehl erhob die Angeklagte mit Schreiben vom 18. Oktober 2023 Einsprache.</w:t>
      </w:r>
    </w:p>
    <w:p>
      <w:r>
        <w:rPr>
          <w:b/>
        </w:rPr>
        <w:t>E. 5</w:t>
      </w:r>
    </w:p>
    <w:p>
      <w:r>
        <w:t>In seiner Stellungnahme vom 8. Januar 2024 beantragte das Gemeinde- steueramt Q.______ die Abweisung der Einsprache.</w:t>
      </w:r>
    </w:p>
    <w:p>
      <w:r>
        <w:rPr>
          <w:b/>
        </w:rPr>
        <w:t>E. 6</w:t>
      </w:r>
    </w:p>
    <w:p>
      <w:r>
        <w:t>Am 28. März 2024 erhob das KStA beim Spezialverwaltungsgericht gegen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9. April 2024 wurde die Angeklagte auf den 14. Mai 2024 vorgeladen. Gleichzeitig wurde die Anklage zugestellt.</w:t>
      </w:r>
    </w:p>
    <w:p>
      <w:r>
        <w:rPr>
          <w:b/>
        </w:rPr>
        <w:t>E. 8</w:t>
      </w:r>
    </w:p>
    <w:p>
      <w:r>
        <w:t>Die Angeklagte ist nicht zur Verhandlung erschienen.</w:t>
      </w:r>
    </w:p>
    <w:p>
      <w:r>
        <w:t>- 3 -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