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3-BU.2024.21 vom 22. Juli 2024</w:t>
      </w:r>
    </w:p>
    <w:p>
      <w:r>
        <w:t>Ag Spezialverwaltungsgericht, 2024-07-22, DE</w:t>
      </w:r>
    </w:p>
    <w:p>
      <w:r>
        <w:rPr>
          <w:b/>
        </w:rPr>
        <w:t xml:space="preserve">Quelle: </w:t>
      </w:r>
      <w:r>
        <w:t>https://mcp.opencaselaw.ch/entscheid/ag_spezialverwaltungsgericht_3-BU.2024.21</w:t>
      </w:r>
    </w:p>
    <w:p>
      <w:r>
        <w:t>FR: AG_SPEZIALVERWALTUNGSGERICHT 3-BU.2024.21 du 22 juillet 2024</w:t>
      </w:r>
    </w:p>
    <w:p>
      <w:r>
        <w:t>IT: AG_SPEZIALVERWALTUNGSGERICHT 3-BU.2024.21 del 22 luglio 2024</w:t>
      </w:r>
    </w:p>
    <w:p>
      <w:pPr>
        <w:pStyle w:val="Heading2"/>
      </w:pPr>
      <w:r>
        <w:t>Erwägungen</w:t>
      </w:r>
    </w:p>
    <w:p>
      <w:r>
        <w:rPr>
          <w:b/>
        </w:rPr>
        <w:t>E. 1</w:t>
      </w:r>
    </w:p>
    <w:p>
      <w:r>
        <w:t>Anfang 2023 wurde A.____(nachfolgend Angeklagter) die Steuererklärung 2022 zugestellt. Nachdem diese nicht eingegangen war, wurde der Angeklagte am 17. August 2023 erstmals gemahnt. Am 21. September 2023 erfolgte eine zweite, per A-Post Plus versandte Mahnung unter An- setzung einer Frist von 20 Tagen zur Einreichung der Steuererklärung 2022 inklusive aller Beilagen. Des Weiteren wurde der Angeklagte auf die Folgen im Unterlassungsfall (insbesondere Busse bis CHF 10'000.00) hingewie- 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2022 unbestrittenermassen Wohn- sitz in Q.____. Somit war er verpflichtet, dem Gemeindesteueramt die Steuererklärung 2022 einzureichen.</w:t>
      </w:r>
    </w:p>
    <w:p>
      <w:r>
        <w:rPr>
          <w:b/>
        </w:rPr>
        <w:t>E. 1.3.1</w:t>
      </w:r>
    </w:p>
    <w:p>
      <w:r>
        <w:t>Der Angeklagte wurde mehrfach gemahnt. Trotz rechtsgenüglicher Zustel- lung der zweiten, per A-Post Plus versandten Mahnung vom 21. September 2023 reichte er innert der gesetzten Frist keine Steuererklärung ein.</w:t>
      </w:r>
    </w:p>
    <w:p>
      <w:r>
        <w:rPr>
          <w:b/>
        </w:rPr>
        <w:t>E. 1.3.2.1</w:t>
      </w:r>
    </w:p>
    <w:p>
      <w:r>
        <w:t>Der Angeklagte machte in der Einsprache geltend, das "sog. Kantonale Steueramt" habe sich zu "[l]egitimieren (…), dass Sie Kläger und zugleich Richter und Henker spielen können." Er macht damit sinngemäss geltend, das KStA sei nicht zum Erlass eines Strafbefehls berechtigt.</w:t>
      </w:r>
    </w:p>
    <w:p>
      <w:r>
        <w:rPr>
          <w:b/>
        </w:rPr>
        <w:t>E. 1.3.2.2</w:t>
      </w:r>
    </w:p>
    <w:p>
      <w:r>
        <w:t>Die Haltung des Angeklagten, wonach die Behörden sich ihm gegenüber als solche zu verifizieren hätten, ist nicht massgeblich. Wie in Erw. I.1. und 2. ausgeführt, ist das KStA zur Durchführung des Strafbefehlsverfahrens und zur Ausfällung von Strafbefehlen zuständig. Anwendbar ist – wie aus- geführt – das geltende schweizerische und aargauische Recht.</w:t>
      </w:r>
    </w:p>
    <w:p>
      <w:r>
        <w:rPr>
          <w:b/>
        </w:rPr>
        <w:t>E. 1.3.2.3</w:t>
      </w:r>
    </w:p>
    <w:p>
      <w:r>
        <w:t>Natürliche Personen sind auf Grund persönlicher Zugehörigkeit steuer- pflichtig, wenn sie ihren steuerrechtlichen Wohnsitz im Kanton haben (§ 16 Abs. 1 StG / vgl. oben Erw. 1.1.). Für diese im Hoheitsgebiet des Gemein- wesens ansässigen natürlichen Personen besteht die Pflicht zur Einrei- chung der Steuererklärung gemäss § 180 Abs. 2 StG voraussetzungslos.</w:t>
      </w:r>
    </w:p>
    <w:p>
      <w:r>
        <w:t>- 6 - An diese Pflicht wurde mit der Mahnung vom 21. September 2023 aus- drücklich erinnert. Behörden brauchen darüber hinaus gesetzlich festge- legte Pflichten nicht zu beweisen. Ebensowenig haben sie sich als Behör- den besonders zu legitimieren.</w:t>
      </w:r>
    </w:p>
    <w:p>
      <w:r>
        <w:rPr>
          <w:b/>
        </w:rPr>
        <w:t>E. 1.3.2.4</w:t>
      </w:r>
    </w:p>
    <w:p>
      <w:r>
        <w:t>Der Einwände des Angeklagten sind daher nicht relevant und vermögen die Nichteinreichung der Steuererklärung nicht zu begründen.</w:t>
      </w:r>
    </w:p>
    <w:p>
      <w:r>
        <w:rPr>
          <w:b/>
        </w:rPr>
        <w:t>E. 1.3.3.1</w:t>
      </w:r>
    </w:p>
    <w:p>
      <w:r>
        <w:t>Der Angeklagte erklärte sodann in der Einsprache, beim Strafbefehl handle es sich um einen Entwurf, da keine leserliche, mit Vor- und Nachnamen versehene Unterschrift vorliege. Jedes Schreiben ohne eine gültige Unter- schrift sei ein Entwurf ohne jegliche Rechtskraft.</w:t>
      </w:r>
    </w:p>
    <w:p>
      <w:r>
        <w:rPr>
          <w:b/>
        </w:rPr>
        <w:t>E. 1.3.3.2</w:t>
      </w:r>
    </w:p>
    <w:p>
      <w:r>
        <w:t>Entgegen der Auffassung des Angeklagten ist der aufgehobene Strafbefehl nicht ungültig. Das Verwaltungsgericht hat sich im Urteil vom 11. Septem- ber 2023 (WBE.2023.240; bestätigt durch Bundesgerichtsurteil vom 25. Oktober 2023 [9C_653/2023]), zur Frage einer behaupteten ungenü- genden Unterzeichnung eines Strafbefehls wie folgt geäussert: "2.2. Das Bundesgericht gelangte in mehreren neueren Entscheiden zum Schluss, dass ein Strafbefehl mit einem offensichtlichen Formfehler (etwa weitgehend ohne Sachverhalt, lediglich Datum, Zeit und Ort) nicht nichtig, sondern lediglich ungültig sei. Es hält in konstanter Rechtsprechung fest, dass angesichts des Grundsatzes der Gültigkeit von Verfahrenshandlun- gen nur krass fehlerhafte Verfahrenshandlungen als nichtig gelten (Urteil des Bundesgerichts 6B_19/2019 vom 19. Juni 2019, Erw. 1.3.4. mit Hin- weis auf BGE 137 I 273, Erw. 3.1). Im vorliegenden Fall geht aus den Ak- ten nicht klar hervor, ob es sich beim zugestellten Strafbefehl um ein origi- nal unterzeichnetes Exemplar, um eine Kopie des Originals oder um einen faksimiliert unterzeichneten Strafbefehl handelt. Die Frage kann hier je- doch offenbleiben, da mit Blick auf die bundesgerichtliche Rechtsprechung kein derart tiefgreifender und wesentlicher Mangel vorliegen würde, der zu einer Nichtigkeit führen könnte. Insbesondere bestand seitens des Be- schwerdeführers von vornherein keinerlei Ungewissheit darüber, wer für den Strafbefehl verantwortlich zeichnet. Es ist der Leiter der Sektion Bezug des KStA. Zudem gilt es zu beachten, dass der Strafbefehl – wie vorlie- gend – im Falle einer Einsprache dahinfällt. Hält die Vorinstanz an ihm fest, dient er im erstinstanzlichen Verfahren nur noch als Anklageschrift. Daher hätte die vom Beschwerdeführer aufgeworfenen Gültigkeitsproblematik letztlich lediglich dann Bedeutung erlangt, wenn es zu keiner Einsprache seitens des Beschwerdeführers gekommen und der Strafbefehl daher zum rechtskräftigen Urteil geworden wäre (vgl. § 248 Abs. 1 StG). Bei dieser Sachlage bestünde im vorliegenden Beschwerdeverfahren auch im Fall ei- ner fotokopierten oder faksimilierten Unterschrift folglich kein Anlass, den durch die Einsprache zur Anklage gewordenen Strafbefehl im Beschwer- deverfahren an das KStA, Sektion Bezug, zurückzuweisen, nur damit die- ses die eigenhändige Unterschrift nachholt. Damit ist der Beschwerde</w:t>
      </w:r>
    </w:p>
    <w:p>
      <w:r>
        <w:t>- 7 - auch in diesem Punkt kein Erfolg beschieden, weshalb sie diesbezüglich abzuweisen ist."</w:t>
      </w:r>
    </w:p>
    <w:p>
      <w:r>
        <w:rPr>
          <w:b/>
        </w:rPr>
        <w:t>E. 1.3.3.3</w:t>
      </w:r>
    </w:p>
    <w:p>
      <w:r>
        <w:t>Gleich verhält es sich im vorliegenden Ordnungsbussenverfahren. Auf- grund der Einsprache wurde der Strafbefehl aufgehoben und nicht zum rechtskräftigen Urteil. Hinzu kommt, dass die Anklage vom 5. März 2024 auf jeden Fall original unterzeichnet wurde, und damit selbst alle vom An- geklagten als notwendig erachteten Gültigkeitserfordernisse erfüllt. Damit erweist sich der Einwand des Angeklagten als unbegründet und unbeacht- lich.</w:t>
      </w:r>
    </w:p>
    <w:p>
      <w:r>
        <w:rPr>
          <w:b/>
        </w:rPr>
        <w:t>E. 1.3.4</w:t>
      </w:r>
    </w:p>
    <w:p>
      <w:r>
        <w:t>Weiter macht der Angeklagte geltend, der Strafbefehl sei nicht an die rich- tige Person adressiert worden. Entgegen der Auffassung des Angeklagten wurde ausschliesslich der korrekte amtliche Name verwendet. Das ergibt sich insbesondere auch aus der Kopie seines amtlichen Personalauswei- ses (Vorakten).</w:t>
      </w:r>
    </w:p>
    <w:p>
      <w:r>
        <w:rPr>
          <w:b/>
        </w:rPr>
        <w:t>E. 1.3.5</w:t>
      </w:r>
    </w:p>
    <w:p>
      <w:r>
        <w:t>Gründe, welche dem Angeklagten die fristgerechte Einreichung der Steu- ererklärung 2022 oder zumindest eines Fristerstreckungsgesuches verun- möglicht hätten, sind nicht ersichtlich. Der Angeklagte hat damit seine Pflicht zur fristgerechten Einreichung der Steuererklärung 2022 verletzt.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4. Auflage, Muri-Bern 2015,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 sowie der Mahnungen bewusst gewesen sein, dass er die ausgefüllte Steuererklä- rung bis zur angesetzten Frist hätte einreichen müssen. Dennoch hat er dies unterlassen, womit er zumindest fahrlässig handelte. Folglich erweist sich auch der subjektive Tatbestand von § 235 Abs. 1 StG als erfüllt.</w:t>
      </w:r>
    </w:p>
    <w:p>
      <w:r>
        <w:t>- 8 -</w:t>
      </w:r>
    </w:p>
    <w:p>
      <w:r>
        <w:rPr>
          <w:b/>
        </w:rPr>
        <w:t>E. 1.5</w:t>
      </w:r>
    </w:p>
    <w:p>
      <w:r>
        <w:t>Zusammenfassend ergibt sich, dass der Angeklagte gegen § 235 Abs. 1 StG verstossen hat und dementsprechend zu bestrafen ist. 2. Es liegen weder Rechtfertigungsgründe noch Schuldausschliessungs- oder -milderungsgründe vor. 3. 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300.00 (zuzüglich Staatsgebühr/Auslagen von CHF 100.00). 4. Die Anklage geht von einem für die Busse relevanten Einkommen des An- geklagten von CHF 50'000.00 aus. Das für die Bussenbemessung mass- gebliche letzte rechtskräftige (hier satzbestimmende) Einkommen gemäss Veranlagung 2021 beträgt jedoch nur CHF 10'500.00, so dass zu Gunsten des Angeklagten auf dieses tiefere Einkommen abzustellen ist. Der Ange- klagte musste gemäss Anklageschrift innerhalb der letzten fünf Steuerperi- oden (d.h. bezüglich der Steuerveranlagungen der Jahre 2017 bis 2021) wegen Verletzung von Verfahrenspflichten bereits ein Mal gebüsst werden (2021). Gemäss aktuellem Bussentarif beträgt die Busse bei einem steuer- baren Einkommen von CHF 10'500.00 sowie bei der zweiten Widerhand- lung CHF 100.00. Gründe für eine weitere Reduktion der Busse sind keine ersichtlich.</w:t>
      </w:r>
    </w:p>
    <w:p>
      <w:r>
        <w:t>- 9 -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Der Angeklagte hat mit der Einsprache einen Schaden von CHF 549.00 unter Beilage einer Rechnung über CHF 1'098.00 (offene Posten CHF 449.00, Mahnung CHF 100.00, Schaden CHF 549.00), zahlbar auf ein Konto bei der Raiffeisenbank lautend auf B._____, geltend gemacht. Das Spezialverwaltungsgericht ist im Ordnungsbussenverfahren nicht zur Beurteilung von Schadenersatzansprüchen gegen den Kanton Aargau zuständig. 4.</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der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25. Oktober 2023 wurde dem Angeklagten eine Busse von CHF 300.00 (zuzüglich Staatsge- bühr/Auslagen von CHF 100.00) auferlegt.</w:t>
      </w:r>
    </w:p>
    <w:p>
      <w:r>
        <w:rPr>
          <w:b/>
        </w:rPr>
        <w:t>E. 4</w:t>
      </w:r>
    </w:p>
    <w:p>
      <w:r>
        <w:t>Gegen diesen Strafbefehl erhob der Angeklagte mit Schreiben vom 13. November 2023 Einsprache.</w:t>
      </w:r>
    </w:p>
    <w:p>
      <w:r>
        <w:rPr>
          <w:b/>
        </w:rPr>
        <w:t>E. 4.1</w:t>
      </w:r>
    </w:p>
    <w:p>
      <w:r>
        <w:t>Nachdem der Angeklagte keinen konkreten Bussenantrag gestellt hat, ist von einem Antrag auf Aufhebung der Busse auszugehen. Vorliegend wird die vom KStA beantragte Busse von CHF 300.00 auf CHF 100.00 redu- ziert. Damit unterliegt der Angeklagte zu 1/3, weshalb ihm die Verfahrens- kosten im Umfang von 1/3 aufzuerlegen sind.</w:t>
      </w:r>
    </w:p>
    <w:p>
      <w:r>
        <w:rPr>
          <w:b/>
        </w:rPr>
        <w:t>E. 4.2</w:t>
      </w:r>
    </w:p>
    <w:p>
      <w:r>
        <w:t>Soweit der Angeklagte eine Parteientschädigung im Ordnungsbussenver- fahren beanspruchen sollte, kann diese dem nicht vertretenen Angeklagten nicht zugesprochen werden (§ 189 Abs. 2 StG).</w:t>
      </w:r>
    </w:p>
    <w:p>
      <w:r>
        <w:t>- 10 - Der Präsident erkennt:</w:t>
      </w:r>
    </w:p>
    <w:p>
      <w:r>
        <w:rPr>
          <w:b/>
        </w:rPr>
        <w:t>E. 5</w:t>
      </w:r>
    </w:p>
    <w:p>
      <w:r>
        <w:t>In seiner Stellungnahme vom 11. Dezember 2023 beantragte das Gemein- desteueramt Q._____ die Abweisung der Einsprache.</w:t>
      </w:r>
    </w:p>
    <w:p>
      <w:r>
        <w:rPr>
          <w:b/>
        </w:rPr>
        <w:t>E. 6</w:t>
      </w:r>
    </w:p>
    <w:p>
      <w:r>
        <w:t>Am 5. März 2024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7.1</w:t>
      </w:r>
    </w:p>
    <w:p>
      <w:r>
        <w:t>Mit Verfügung vom 14. Juni 2024 wurde der Angeklagte auf den 17. Juli 2024 vorgeladen. Gleichzeitig wurde die Anklage zugestellt.</w:t>
      </w:r>
    </w:p>
    <w:p>
      <w:r>
        <w:t>- 3 -</w:t>
      </w:r>
    </w:p>
    <w:p>
      <w:r>
        <w:rPr>
          <w:b/>
        </w:rPr>
        <w:t>E. 7.2</w:t>
      </w:r>
    </w:p>
    <w:p>
      <w:r>
        <w:t>Weder die eingeschrieben, noch die per A-Post Plus versandte Vorladung konnte von der Post zugestellt werden, da der Empfänger unter der ange- gebenen Adresse nicht ermittelt werden konnte.</w:t>
      </w:r>
    </w:p>
    <w:p>
      <w:r>
        <w:rPr>
          <w:b/>
        </w:rPr>
        <w:t>E. 7.3</w:t>
      </w:r>
    </w:p>
    <w:p>
      <w:r>
        <w:t>Die Vorladung wurde – nachdem die Einwohnerdienste Q._____ eine fort- bestehende Anmeldung in Q._____ bestätigt hatten und der Angeklagte die postalische Zustellung nicht ermöglichte – am 25. Juni 2024 amtlich publiziert.</w:t>
      </w:r>
    </w:p>
    <w:p>
      <w:r>
        <w:rPr>
          <w:b/>
        </w:rPr>
        <w:t>E. 8</w:t>
      </w:r>
    </w:p>
    <w:p>
      <w:r>
        <w:t>Der Angeklagte ist nicht zur Verhandlung erschienen.</w:t>
      </w:r>
    </w:p>
    <w:p>
      <w:r>
        <w:rPr>
          <w:b/>
        </w:rPr>
        <w:t>E. 9</w:t>
      </w:r>
    </w:p>
    <w:p>
      <w:r>
        <w:t>Das Spezialverwaltungsgericht hat beim Gemeindesteueramt Q._____ weitere Abklärungen vorgenommen (Aktennotiz vom 22. Juli 2024).</w:t>
      </w:r>
    </w:p>
    <w:p>
      <w:r>
        <w:t>- 4 - Der Präsident zieht in Erwägung: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