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3-BB.2018.21 vom 25. Februar 2021</w:t>
      </w:r>
    </w:p>
    <w:p>
      <w:r>
        <w:t>Ag Spezialverwaltungsgericht, 2021-02-25, DE</w:t>
      </w:r>
    </w:p>
    <w:p>
      <w:r>
        <w:rPr>
          <w:b/>
        </w:rPr>
        <w:t xml:space="preserve">Quelle: </w:t>
      </w:r>
      <w:r>
        <w:t>https://mcp.opencaselaw.ch/entscheid/ag_spezialverwaltungsgericht_3-BB.2018.21</w:t>
      </w:r>
    </w:p>
    <w:p>
      <w:r>
        <w:t>FR: AG_SPEZIALVERWALTUNGSGERICHT 3-BB.2018.21 du 25 février 2021</w:t>
      </w:r>
    </w:p>
    <w:p>
      <w:r>
        <w:t>IT: AG_SPEZIALVERWALTUNGSGERICHT 3-BB.2018.21 del 25 febbraio 2021</w:t>
      </w:r>
    </w:p>
    <w:p>
      <w:pPr>
        <w:pStyle w:val="Heading2"/>
      </w:pPr>
      <w:r>
        <w:t>Erwägungen</w:t>
      </w:r>
    </w:p>
    <w:p>
      <w:r>
        <w:rPr>
          <w:b/>
        </w:rPr>
        <w:t>E. 13</w:t>
      </w:r>
    </w:p>
    <w:p>
      <w:r>
        <w:t>Juni 2012 [2C_862/2011 und 2C_863/2011; Ertragsverzicht], vom 23. Juli 2003 [2A.602/2002] und vom 22. Mai 2003 [2A.590/2002], je mit Hinweis auf die Judikatur; ASA 63 S. 671; AGVE 2004 S. 133; VGE vom</w:t>
      </w:r>
    </w:p>
    <w:p>
      <w:r>
        <w:rPr>
          <w:b/>
        </w:rPr>
        <w:t>E. 17</w:t>
      </w:r>
    </w:p>
    <w:p>
      <w:r>
        <w:t>März 2010 [WBE.2009.218]). Die steuerliche Behandlung als verdeckte Gewinnausschüttung setzt somit kumulativ voraus, dass</w:t>
      </w:r>
    </w:p>
    <w:p>
      <w:r>
        <w:t>- 8 - - die Gesellschaft keine oder keine gleichwertige Gegenleistung erhält, - der Aktionär oder eine der Gesellschaft nahe stehende Person oder Un- ternehmung direkt oder indirekt einen Vorteil erhält, der einem Dritten unter gleichen Bedingungen nicht zugebilligt worden wäre, die Leistung also insofern ungewöhnlich ist, und - der Charakter dieser Leistung für die Gesellschaftsorgane erkennbar war. Nach der im Steuerrecht allgemein gültigen Regel trägt die Steuerbehörde die Beweislast für steuerbegründende Tatsachen, während der Beweis für steueraufhebende oder steuermindernde Tatsachen grundsätzlich dem Steuerpflichtigen obliegt, wobei er diese Tatsachen nicht nur zu behaupten, sondern auch zu belegen hat (BGE 140 II 248, Erw. 3.5 mit Hinweisen; Bundesgerichtsurteil vom 29. September 2016 [2C_162/2016 und 2C_163/16], Erw. 2.3., mit Hinweisen). Die entscheidende Behörde würdigt dabei nach ihrer eigenen, freien Überzeugung, ob ein Beweismittel glaub- würdig ist. Auch wenn im Steuerrecht an sich das Beweismass der vollen Überzeugung ("Regelbeweismass") herrscht, bedarf es keiner absoluten Gewissheit. Es genügt, dass die Veranlagungsbehörde nach erfolgter Be- weiswürdigung und aufgrund objektiver Gesichtspunkte mit an Sicherheit grenzender Wahrscheinlichkeit vom Vorliegen der rechtserheblichen Tat- sache überzeugt ist. Die Auffassung kann auf Indizien beruhen und bedingt keinen direkten Beweis (Bundesgerichtsurteil vom 12. Mai 2020 [2C_926/ 2019], Erw. 2.3). 5.3.3. Die genannten Voraussetzungen einer geldwerten Leistung werden im Ein- spracheentscheid nicht erwähnt. Zudem wird nur gerade beim Fahrzeug- aufwand sinngemäss auf die genannten Kriterien eingegangen ("Zudem kann beim auf den Wohnsitzkanton eingelösten Fahrzeug von einem Pri- vatfahrzeug ausgegangen werde."). Bei den übrigen Aufrechnungen geld- werter Leistungen fehlt hingegen eine nur irgendwie nachvollziehbare Be- gründung. Damit wurde auch die Begründungspflicht verletzt, was ebenfalls zur Auf- hebung des Einspracheentscheides führen muss. 6. Aufgrund der Mehrzahl der Verfahrenspflichtverletzungen kommt deren Heilung im Beschwerdeverfahren nicht in Frage. Der Einspracheentscheid ist somit aufzuheben und die Angelegenheit nur nochmaligen Durchfüh- rung des Einspracheverfahrens an die Vorinstanz zurückzuweisen.</w:t>
      </w:r>
    </w:p>
    <w:p>
      <w:r>
        <w:t>- 9 - 7. Bei diesem Verfahrensausgang sind die Kosten des Beschwerdeverfah- rens auf die Staatskasse zu nehmen (Art. 144 Abs. 1 DBG). Der nicht ver- tretenen Beschwerdeführerin ist keine Parteientschädigung auszurichten (Art. 144 Abs. 2 DBG).</w:t>
      </w:r>
    </w:p>
    <w:p>
      <w:r>
        <w:t>- 10 - Das Gericht erkennt: 1. Der Einspracheentscheid vom 31. August 2018 wird aufgehoben und die Angelegenheit zur nochmaligen Durchführung des Einspracheverfahrens an das Kantonale Steueramt zurückgewiesen. 2. Die Verfahrenskosten werden auf die Staatskasse genommen. 3. Es wird keine Parteientschädigung ausgerichtet. Zustellung an: die Beschwerdeführerin das Kantonale Steueramt das Gemeindesteueramt Q. die Eidg. Steuerverwaltung, Hauptabteilung direkte Bundessteuer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unterzeichnete Beschwerdeschrift muss einen Antrag, wie der Entscheid zu ändern sei, sowie eine Begründung enthalten. Der angefochtene Ent- scheid und als Beweismittel angerufene Urkunden sind beizulegen (§§ 28 und 43 f. des Gesetzes über die Verwaltungsrechtspflege vom 4. Dezem- ber 2007 [VRPG]).</w:t>
      </w:r>
    </w:p>
    <w:p>
      <w:r>
        <w:t>- 11 - Aarau, 25. Februar 2021 Spezialverwaltungsgericht Steuern Der Präsident: Die Gerichtsschreiberin: Heuscher Bernhard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