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RRB.2024.000084 vom 12. August 2022</w:t>
      </w:r>
    </w:p>
    <w:p>
      <w:r>
        <w:t>Ag Regierungsrat, 2022-08-12, DE</w:t>
      </w:r>
    </w:p>
    <w:p>
      <w:r>
        <w:rPr>
          <w:b/>
        </w:rPr>
        <w:t xml:space="preserve">Quelle: </w:t>
      </w:r>
      <w:r>
        <w:t>https://mcp.opencaselaw.ch/entscheid/ag_regierungsrat_RRB.2024.000084</w:t>
      </w:r>
    </w:p>
    <w:p>
      <w:r>
        <w:t>FR: AG_REGIERUNGSRAT RRB.2024.000084 du 12 août 2022</w:t>
      </w:r>
    </w:p>
    <w:p>
      <w:r>
        <w:t>IT: AG_REGIERUNGSRAT RRB.2024.000084 del 12 agosto 2022</w:t>
      </w:r>
    </w:p>
    <w:p>
      <w:pPr>
        <w:pStyle w:val="Heading2"/>
      </w:pPr>
      <w:r>
        <w:t>Erwägungen</w:t>
      </w:r>
    </w:p>
    <w:p>
      <w:r>
        <w:rPr>
          <w:b/>
        </w:rPr>
        <w:t>E. 1</w:t>
      </w:r>
    </w:p>
    <w:p>
      <w:r>
        <w:t>Eintreten Gemäss § 78 des Schulgesetzes vom 17. März 1981 (SAR 401.100) kann gegen Entscheide des Schulrats des Bezirks innert 30 Tagen von der Zustellung an Beschwerde beim Regierungsrat ge- führt werden. Der Beschwerdeführer ist als Adressat des vorinstanzlichen Entscheids unmittelbar in seinen Interessen berührt und deshalb im Sinne von § 42 Abs. 1 lit. a des Gesetzes über die Verwal- tungsrechtspflege (Verwaltungsrechtspflegegesetz, VRPG) vom 4. Dezember 2007 (SAR 271.200)</w:t>
      </w:r>
    </w:p>
    <w:p>
      <w:r>
        <w:rPr>
          <w:b/>
        </w:rPr>
        <w:t>E. 3</w:t>
      </w:r>
    </w:p>
    <w:p>
      <w:r>
        <w:t>Vorbringen der Parteien</w:t>
      </w:r>
    </w:p>
    <w:p>
      <w:r>
        <w:rPr>
          <w:b/>
        </w:rPr>
        <w:t>E. 3.1</w:t>
      </w:r>
    </w:p>
    <w:p>
      <w:r>
        <w:t>Der Beschwerdeführer beantragt eine Reduktion der vorinstanzlichen Parteientschädigung auf Fr. 5'000.–. Er begründet dies im Wesentlichen mit den Regelungen des Anwaltstarifs, die eine tarif- gemässe anwaltliche Entschädigung vorsehe. Der effektive Anwaltsaufwand sei nicht massgeblich, sondern die in einem Verfahren notwendigen und entsprechend der Bedeutung der Sache üblichen anwaltlichen Leistungen. Die Ausführungen der Beschwerdegegnerin in ihren Rechtsschriften seien dagegen unnötig weitschweifig ausgefallen. Die Vorinstanz nehme einen Aufwand von 63 Stunden an, wobei anzunehmen sei, dass sie den obersten Rand des Rahmens gemäss § 3 Abs. 1 lit. b Anwaltstarif von Fr. 14'740.– für eine Streitsa- che ohne Streitwert genommen und durch einen Stundenansatz von Fr. 230.– dividiert habe, woraus ein Aufwand von 63 Stunden resultierte. Diese Bemessung der Parteientschädigung sei willkürlich und widerspreche dem Anwaltstarif, der kein Aufwandtarif sei. Die zugesprochene Parteientschädi- gung sei massiv zu hoch. Im Kern gehe es darum, dass die Beschwerdegegnerin das Schulgeld von monatlich Fr. 3'800.– der Privatschule F._____ zu übernehmen habe. Da sich die Beschwerdegegnerin gemäss angefochte- nem Beschluss mit rund Fr. 912.– monatlich, entsprechend dem Schulgeld der öffentlichen Schule in S._____, beteilige, gehe es effektiv noch um Fr. 2'900.– pro Monat oder rund Fr. 35'000.– für das an der Privatschule verbrachte Schuljahr 2022/23. Die Parteientschädigung liege daher gemäss An- waltstarif bei einem Streitwert zwischen Fr. 20'000.– und Fr. 50'000.– im Rahmen von Fr. 1'500.– bis Fr. 6'000.–. Der Streitwert liege in etwa dazwischen, womit eine Grundentschädigung von Fr. 3'750.– angemessen sei. Unter Berücksichtigung von zwei zusätzlichen Eingaben sei ein Zuschlag von 20 % angemessen, der zusammen mit den gerichtsüblichen 3 % für Auslagen und Mehrwertsteuern zu ei- ner Gesamtentschädigung von rund Fr. 5'000.– führe.</w:t>
      </w:r>
    </w:p>
    <w:p>
      <w:r>
        <w:rPr>
          <w:b/>
        </w:rPr>
        <w:t>E. 3.2</w:t>
      </w:r>
    </w:p>
    <w:p>
      <w:r>
        <w:t>Die Beschwerdegegnerin beantragt die Abweisung der Beschwerde. Sie bringt im Wesentlichen vor, die Vorinstanz gehe fälschlicherweise davon aus, dass keine vermögensrechtliche Streitigkeit vor- liege. Indessen habe der Beschwerdeführer die Übernahme der Kosten zum Besuch einer Privat- schule durch die Beschwerdegegnerin beantragt. Zur Berechnung des Streitwerts sei allein das ge- stellte Rechtsbegehren massgebend. Unerheblich seien insbesondere vorprozessuale Angebote der Gegenseite oder ob die Forderung begründet oder übersetzt sei. Im Antrag an den Gemeinderat vom 10. Oktober 2022 habe der Beschwerdeführer Schulkosten von monatlich Fr. 5'700.– und Transport- kosten von monatlich Fr. 117.– verlangt. Unter Berücksichtigung der dreijährigen Dauer der Ober- stufe resultiere somit ein Streitwert von Fr. 209'412.– (36 x Fr. 5'817.–), woraus eine Grundentschä- digung von Fr. 15'000.– gemäss Anwaltstarif resultiere. Schliesslich macht die Beschwerdegegnerin geltend, dass das Verfahren aufgrund des Verhaltens des Beschwerdeführers einen ausserordentlichen Aufwand generiert habe, was sich allein im Um- fang der Rechtsschriften zeige. Obwohl die Vorinstanz kurz nach Einreichung der Beschwerde mit Verfügung vom 6. Januar 2023 auf die Unzuständigkeit des Schulrats des Bezirks für die Frage der Übernahme von Privatschulkosten aufmerksam gemacht habe, sei der Beschwerdeführer von sei- nem falschen Kurs nicht abgerückt und habe in der Folge immer wieder auch unaufgeforderte Zu- satzeingaben mit neuen, unzulässigen Rechtsbegehren eingereicht. Auf diese Weise sei der Be- schwerdegegnerin bis zum Verfahrensabschluss ein völlig unverhältnismässiger Aufwand aufge- zwungen worden, dem sie sich nicht habe entziehen können. Sie habe immer wieder von Neuem entgegnen müssen, unter Berücksichtigung des gesamten Sachverhalts. Es könne daher keines- wegs von einem durchschnittlichen Aufwand ausgegangen werden.</w:t>
      </w:r>
    </w:p>
    <w:p>
      <w:r>
        <w:rPr>
          <w:b/>
        </w:rPr>
        <w:t>E. 4</w:t>
      </w:r>
    </w:p>
    <w:p>
      <w:r>
        <w:t>Verlegung der Verfahrens- und Parteikosten Zuerst ist die vom Beschwerdeführer kritisierte Auferlegung der Parteikosten im vorinstanzlichen Ver- fahren zu prüfen. Zudem ist auch die Verlegung der Verfahrenskosten von Amtes wegen zu prüfen (RHINOW/KOLLER/KISS/THURNHERR/BRÜHL-MOSER, Öffentliches Prozessrecht, 2. Auflage, Basel 2010, N 1371; nachfolgend Erwägung 4.1). Hernach ist über die Kostenverlegung vor dem Regierungsrat zu befinden (Erwägung 4.2).</w:t>
      </w:r>
    </w:p>
    <w:p>
      <w:r>
        <w:rPr>
          <w:b/>
        </w:rPr>
        <w:t>E. 4.1.1</w:t>
      </w:r>
    </w:p>
    <w:p>
      <w:r>
        <w:t>Die Verfahrens- und Parteikosten werden im Beschwerdeverfahren in der Regel nach Massgabe des Unterliegens und Obsiegens auf die Parteien verlegt (§§ 31 Abs. 2 und 32 Abs. 2 VRPG). Für das vorinstanzliche Beschwerdeverfahren sind indessen keine Verfahrenskosten zu erheben. Das Bun- desgesetz über die Beseitigung von Benachteiligungen von Menschen mit Behinderungen (Behinder- tengleichstellungsgesetz, BehiG) vom 13. Dezember 2002 (SR 151.3) sieht vor, dass bei einem gel- tend gemachten Anspruch um benachteiligungsfreien Zugang zu Aus- und Weiterbildung keine Verfahrenskosten erhoben werden (Art. 8 Abs. 2 in Verbindung mit Art. 2 Abs. 5 BehiG). Mit der vor- liegend erstellten Sonderschulungsbedürftigkeit des Beschwerdeführers, ausweislich des schulpsy- chologischen Fachberichts vom 5. Oktober 2022, liegt nach der Rechtsprechung des Bundesgerichts ein genügend enger Zusammenhang mit einer Behinderung vor, womit keine Verfahrenskosten erho- ben werden (Art. 10 Abs. 1 BehiG und Urteil des Bundesgerichts 2C_154/2017 vom 23. Mai 2017, E. 8). Der vorinstanzliche Entscheid ist somit von Amtes wegen abzuändern und die Verfahrenskos- ten sind auf die Staatskasse zu nehmen.</w:t>
      </w:r>
    </w:p>
    <w:p>
      <w:r>
        <w:rPr>
          <w:b/>
        </w:rPr>
        <w:t>E. 4.1.2</w:t>
      </w:r>
    </w:p>
    <w:p>
      <w:r>
        <w:t>Die vorinstanzliche Bemessung der Parteientschädigung von Fr. 19'293.25, mithin weit über dem ordentlichen Rahmen von Fr. 1'210.– bis Fr. 14'740.– für Streitsachen ohne Streitwert (vgl. § 8a Abs. 3 in Verbindung mit § 3 Abs. 1 lit. b Anwaltstarif), beruht zum einen auf einer rechtsfehlerhaften</w:t>
      </w:r>
    </w:p>
    <w:p>
      <w:r>
        <w:rPr>
          <w:b/>
        </w:rPr>
        <w:t>E. 4.1.3</w:t>
      </w:r>
    </w:p>
    <w:p>
      <w:r>
        <w:t>Die Beschwerdegegnerin obsiegte im vorinstanzlichen Verfahren und hat damit Anspruch auf eine Parteientschädigung (§ 32 Abs. 2 VRPG). Die Parteientschädigung in Verwaltungssachen bemisst sich nach den §§ 8a–c des Anwaltstarifs. Ein Streitwert lässt sich vorliegend sachgerecht nicht fest- setzen, zumal der Schulrat des Bezirks nicht für vermögensrechtliche Streitigkeiten, etwa die Über- nahme von Schulgeldern einer Privatschule durch die Gemeinde, zuständig ist. Dafür ist alleine das Verwaltungsgericht im Klageverfahren sachzuständig (vgl. AGVE 2003 Nr. 30 S. 95). Auf den ent- sprechenden Antrag ist die Vorinstanz infolge Unzuständigkeit zu Recht nicht eingetreten. Es ist des- halb von einem Verfahren auszugehen, welches das Vermögen der Parteien weder direkt noch indi- rekt beeinflusst. Damit gelangen die §§ 3 Abs. 1 lit. b und 6 ff. Anwaltstarif sinngemäss zur Anwen- dung (§ 8a Abs. 3 Anwaltstarif). Gemäss § 3 Abs. 1 lit. b Anwaltstarif beträgt die Grundentschädi- gung nach dem mutmasslichen Aufwand des Anwalts, nach der Bedeutung und der Schwierigkeit des Falls Fr. 1'210.– bis Fr. 14'740.–. Die Bedeutung des Falls ist als mittelhoch einzuschätzen, da es um einen geltend gemachten Sonderschulungsbedarf geht und der Beschwerdeführer zum dama- ligen Zeitpunkt noch keine Sonderschule besuchen konnte. Die Schwierigkeit des Falls ist als mittel einzustufen, zumal es um übliche Fragen der (Un-)Zuständigkeit von Beschwerde- und Klageinstan- zen sowie schulrechtliche Zuweisungen ging. Aus diesen Gründen erweist sich eine Grundentschädi- gung von Fr. 3'500.– für ein vollständig durchgeführtes Verfahren als sachangemessen. Mit der Grundentschädigung abgegolten werden Instruktion, Aktenstudium, rechtliche Abklärungen, Korrespondenz und Telefongespräche sowie eine Rechtsschrift und die Teilnahme an einer behördli- chen Verhandlung (§ 6 Abs. 1 Anwaltstarif). Das vorinstanzliche Verfahren wurde mit doppeltem Schriftenwechsel, jedoch ohne Verhandlung durchgeführt, was sich in der Summe wieder ausgleicht. Seitens des Beschwerdeführers erfolgten in einer die Beschwerdeschrift ergänzenden Eingabe vom 24. Januar 2023 neue Anträge sowie erstmals in der Replik vom 29. März 2023, verschiedene Be- weisanträge (Edition von zusätzlichen Dokumenten, Zeugenbefragung), die zu weiteren Schriften- wechseln führten (vgl. Eingaben des Beschwerdeführers vom 16. Mai 2023, 24. Mai 2023, 2. Juni 2023). Insgesamt rechtfertigt sich daher ein Zuschlag von 30 % (§§ 2 in Verbindung mit 6 Abs. 3 An- waltstarif). Ein noch höherer Zuschlag ist aufgrund der tarifgemässen Berechnung der Parteientschä- digung und der Unmassgeblichkeit des effektiven Aufwands gemäss Anwaltstarif nicht gerechtfertigt (vgl. Erwägung 4.1.2). Zwar ist anzuerkennen, dass der Beschwerdeführer mit seinem Verhalten, trotz klarer Unzuständigkeit des Schulrats für vermögensrechtliche Forderungen, sowie Zusatzeinga- ben mit neuen Begehren und Beweisanträgen einen erheblichen Zusatzaufwand verursachte. Auf der anderen Seite ist ebenso zu konstatieren, dass die beschwerdegegnerischen Ausführungen zu- weilen weitschweifend ausgefallen sind, gerade angesichts der klaren Rechtslage. Der Anwaltstarif</w:t>
      </w:r>
    </w:p>
    <w:p>
      <w:r>
        <w:rPr>
          <w:b/>
        </w:rPr>
        <w:t>E. 4.2</w:t>
      </w:r>
    </w:p>
    <w:p>
      <w:r>
        <w:t>Die Verfahrenskosten vor dem Regierungsrat werden ebenso auf die Staatskasse genommen (vgl. Erwägung 4.1.1). Der Beschwerdeführer obsiegt, da der vorinstanzliche Entscheid, wie von ihm be- antragt, im Kostenpunkt neu gefasst wird. Als unterliegend gelten die Beschwerdegegnerin und die Vorinstanz (vgl. § 13 Abs. 2 lit. b und e VRPG), womit die Parteikosten je zur Hälfte auf diese Par- teien verlegt werden (§ 32 Abs. 2 VRPG). Die Bedeutung des Falls und die Schwierigkeit der Beschwerde an den Regierungsrat sind als mittel einzustufen. Materiellrechtlich geht es nur noch um den Kostenpunkt, womit eine Grundentschädi- gung von Fr. 1'300.– für ein vollständig durchgeführtes Verfahren sachangemessen ist. Es wurde weder eine Verhandlung noch ein doppelter Schriftenwechsel durchgeführt, weshalb ein Abschlag von 10 % gerechtfertigt ist (vgl. §§ 6 Abs. 2 und 8 Anwaltstarif). Somit beträgt die zuzusprechende Parteientschädigung für den Beschwerdeführer insgesamt Fr. 1'170.–, Auslagen und Mehrwertsteuer sind darin enthalten (§ 8c Anwaltstarif), die – wie ausgeführt – zur Hälfte von der unterliegenden Be- schwerdegegnerin und der unterliegenden Vorinstanz (Staatskasse) zu tragen sind. Beschluss 1. In Gutheissung der Beschwerde wird Dispositiv-Ziffer B "Kostenfolge" des Entscheids des Schulrats des Bezirks R._____ vom 16. August 2023 aufgehoben und wie folgt neu gefasst: "1. Die Verfahrenskosten des Beschwerdeverfahrens werden auf die Staatskasse genommen. 2. Der Beschwerdeführer beziehungsweise seine gesetzlichen Vertreter werden verpflichtet, der Beschwerdegegnerin die vor dem Schulrat des Bezirks R._____ entstandenen Partei- kosten in der Höhe von Fr. 4'550.– (inklusive Auslagen und MwSt.) zu ersetzen." 2. Die Verfahrenskosten des Beschwerdeverfahrens vor dem Regierungsrat werden auf die Staats- kasse genommen. 3. Die Beschwerdegegnerin wird verpflichtet, dem Beschwerdeführer beziehungsweise seinen gesetzli- chen Vertretern die vor dem Regierungsrat entstandenen Parteikosten von Fr. 1'170.– (inklusive Auslagen und MwSt.) zur Hälfte, mithin zu Fr. 585.– zu ersetzen. Die andere Hälfte, mithin ebenso Fr. 585.–, erhalten der Beschwerdeführer beziehungsweise seine gesetzlichen Vertreter aus der Staatskasse ersetzt.</w:t>
      </w:r>
    </w:p>
    <w:p>
      <w:r>
        <w:rPr>
          <w:b/>
        </w:rPr>
        <w:t>E. 5</w:t>
      </w:r>
    </w:p>
    <w:p>
      <w:r>
        <w:t>von 7</w:t>
      </w:r>
    </w:p>
    <w:p>
      <w:r>
        <w:t>Auslegung des Anwaltstarifs, da sich die Vorinstanz augenscheinlich am geltend gemachten, effekti- ven Aufwand von Fr. 22'500.– des beschwerdegegnerischen Anwalts orientierte (Schlusseingabe Beschwerdegegner vom 23. Juni 2023, Seite 3). Der effektiv von einem Anwalt geltend gemachte Aufwand ist grundsätzlich unmassgeblich für die Bemessung der Parteientschädigung (Aargauische Gerichts- und Verwaltungsentscheide [AGVE] 2011 Nr. 58 S. 250). Die Berechnungsmethode beruht vielmehr auf der Überlegung, dass die Parteientschädigungen aller Parteien immer nach Massgabe des Anwaltstarifs festgesetzt werden (AGVE 1992, S. 397) und damit die "in einem Verfahren not- wendigen und (....) üblichen Leistungen (..)" für eine Rechtsvertretung abgegolten werden (§ 2 Abs. 1 Anwaltstarif). Auf die Einholung von Kostennoten wird daher verzichtet. Zum anderen übt die Vorinstanz ihr Ermessen bei der konkreten Bemessung der Parteientschädi- gung unsachgemäss aus. Wie nachfolgend aufzuzeigen sein wird, liegen weder eine hohe Bedeu- tung noch eine hohe Schwierigkeit (vgl. § 3 Abs. 1 lit. b Anwaltstarif) und auch keine ausserordentli- chen Aufwendungen (vgl. § 7 Abs. 1 Anwaltstarif) vor, welche die von der Vorinstanz zugesprochene Parteientschädigung (teilweise) rechtfertigen könnte. Es ist daher nachfolgend eine Neubemessung der Parteientschädigung im vorinstanzlichen Verfahren vorzunehmen.</w:t>
      </w:r>
    </w:p>
    <w:p>
      <w:r>
        <w:rPr>
          <w:b/>
        </w:rPr>
        <w:t>E. 6</w:t>
      </w:r>
    </w:p>
    <w:p>
      <w:r>
        <w:t>von 7</w:t>
      </w:r>
    </w:p>
    <w:p>
      <w:r>
        <w:t>deckt aber nur die üblichen Aufwendungen und nicht den effektiven Aufwand. Es liegt auch kein Fall mit ausserordentlichen Aufwendungen vor, da es um übliche Zuständigkeits- und schulrechtliche Fragen ging und insbesondere kein Tatbestand von § 7 Abs. 1 Anwaltstarif vorliegt. Somit beträgt die zuzusprechende Parteientschädigung für die Beschwerdegegnerin im vorinstanzlichen Verfahren Fr. 4'550.–, Auslagen und Mehrwertsteuer sind darin enthalten (§ 8c Anwaltstarif).</w:t>
      </w:r>
    </w:p>
    <w:p>
      <w:r>
        <w:rPr>
          <w:b/>
        </w:rPr>
        <w:t>E. 7</w:t>
      </w:r>
    </w:p>
    <w:p>
      <w:r>
        <w:t>von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