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AGVE_2007_117 vom 9. Mai 2005</w:t>
      </w:r>
    </w:p>
    <w:p>
      <w:r>
        <w:t>Ag Regierungsrat, 2005-05-09, DE</w:t>
      </w:r>
    </w:p>
    <w:p>
      <w:r>
        <w:rPr>
          <w:b/>
        </w:rPr>
        <w:t xml:space="preserve">Quelle: </w:t>
      </w:r>
      <w:r>
        <w:t>https://mcp.opencaselaw.ch/entscheid/ag_regierungsrat_AGVE_2007_117</w:t>
      </w:r>
    </w:p>
    <w:p>
      <w:r>
        <w:t>FR: AG_REGIERUNGSRAT AGVE_2007_117 du 9 mai 2005</w:t>
      </w:r>
    </w:p>
    <w:p>
      <w:r>
        <w:t>IT: AG_REGIERUNGSRAT AGVE_2007_117 del 9 maggio 2005</w:t>
      </w:r>
    </w:p>
    <w:p>
      <w:pPr>
        <w:pStyle w:val="Heading2"/>
      </w:pPr>
      <w:r>
        <w:t>Regeste</w:t>
      </w:r>
    </w:p>
    <w:p>
      <w:r>
        <w:t>Sondernutzungsplanung. - Anfechtungsmöglicheit der Weigerung des zuständigen Gemeindeorgans, einen Sondernutzungsplan zu erlassen. - Voraussetzungen, damit der Regierungsrat an Stelle des zuständigen kommunalen Organs einen Planungsentscheid fällen kann.</w:t>
      </w:r>
    </w:p>
    <w:p>
      <w:pPr>
        <w:pStyle w:val="Heading2"/>
      </w:pPr>
      <w:r>
        <w:t>Erwägungen</w:t>
      </w:r>
    </w:p>
    <w:p>
      <w:r>
        <w:rPr>
          <w:b/>
        </w:rPr>
        <w:t>E. 11</w:t>
      </w:r>
    </w:p>
    <w:p>
      <w:r>
        <w:t>Dezember 2006 - fasste der Gemeinderat G. dagegen den Be- schluss, den Erschliessungsplan nicht zu genehmigen. Diesen Beschluss des Gemeinderats G. focht die T. AG fristge- recht beim Regierungsrat an u.a. mit dem Begehren, der Gemeinderat sei anzuweisen, den Erschliessungsplan zu erlassen; eventuell habe der Regierungsrat den Erschliessungsplan selbst zu beschliessen. (…)</w:t>
      </w:r>
    </w:p>
    <w:p>
      <w:r>
        <w:t>2007 Bau-, Raumplanungs- und Umweltschutzrecht 447 Aus den Erwägungen 2.1. Im Hauptpunkt ficht die T. AG die Nichtgenehmigung des von ihr erarbeiteten Erschliessungsplanes "C" an und stellt den An- trag, der Gemeinderat sei anzuweisen, den Erschliessungsplan zu be- schliessen. Gegen Beschlüsse der zuständigen Gemeindeorgane über Nut- zungspläne und -vorschriften kann innert 20 Tagen seit der amtlichen Publikation beim Regierungsrat Beschwerde erhoben werden (§ 26 Abs. 1 des Gesetzes über Raumplanung, Umweltschutz und Bauwe- sen [BauG] vom 19. Januar 1993; § 5 der Allgemeinen Verordnung zum Baugesetz [ABauV] vom 23. Februar 1994; vgl. auch Art. 33 Abs. 3 des Bundesgesetzes über die Raumplanung [RPG] vom 22. Juni 1979). Vorab stellt sich nun die Frage, ob die eben genannten Vor- schriften auch dann eine Anfechtungsmöglichkeit eröffnen, wenn sich das zuständige Gemeindeorgan – wie vorliegend der Gemeinde- rat G. – weigert, einen (Sonder-)Nutzungsplan zu erlassen. Dies ist grundsätzlich jedenfalls dann zu bejahen, wenn die Entwürfe zu Sondernutzungsplänen nicht auf behördliche Initiative hin erarbeitet, sondern von Privatpersonen selbst erstellt worden sind (vgl. §§ 17 Abs. 3 und 21 Abs. 3 BauG). Anfechtungsobjekt ist nicht – wie unter dem früheren Recht – der Nutzungsplan als solcher, sondern der Be- schluss hierüber; beim Rechtsschutzverfahren handelt sich im Unter- schied zu früher nicht mehr um ein Normenkontrollverfahren (vgl. AGVE 1999 S. 286). Das Prozessthema ist in einem solchen Fall allerdings grund- sätzlich darauf beschränkt, ob die Vorinstanz rechtlich verpflichtet war, den Nutzungsplan zu erlassen. Die Rechtmässigkeit des (nicht erlassenen) Planes selber steht dagegen nicht zur Diskussion, zumin- dest solange nicht, als es sich nicht um eine wiederholte unzulässige Weigerung der Gemeinde gehandelt hat. Eine Ersatzvornahme, d.h. die Erarbeitung und Beschlussfassung über die kommunale Planung durch kantonale Organe, ist nämlich erst zulässig, wenn eine Ge- meinde sich einer vorgängigen entsprechenden Aufforderung wider- setzt (vgl. §§ 14 und 33 Abs. 3 BauG; vgl. zum Ganzen auch: Grund-</w:t>
      </w:r>
    </w:p>
    <w:p>
      <w:r>
        <w:t>448 Verwaltungsbehörden 2007 sätzliche Entscheide des Regierungsrates des Kantons Solothurn [GER] 1995, Nr. 11). Nachdem dies vorliegend nicht der Fall ist, kann auf das Eventualbegehren der T. AG, der Regierungsrat habe den Erschliessungsplan selber zu beschliessen, von vornherein nicht eingetreten werden. 118 Festlegung der Bewilligungsgebühr für die Errichtung von temporären Reklamen entlang der Kantonsstrasse. - Baubewilligungspflicht der Strassensreklamen; Verhältnis zwischen Bundesrecht und kantonalem Recht (Erw. 2). - Überprüfung der Gebühr für die strassenverkehrsrechtliche Bear- beitung des Strassenreklamegesuches (Erw. 4). Aus dem Entscheid des Regierungsrats vom 12. September 2007 i.S. C.W. GmbH gegen den Entscheid des Departements Bau, Verkehr und Umwelt vom 7. Februar 2007. Aus den Erwägungen</w:t>
      </w:r>
    </w:p>
    <w:p>
      <w:r>
        <w:t>1. Die beiden Gebührenverfügungen der Abteilung für Baube- willigungen des Departements Bau, Verkehr und Umwelt (BVU) set- zen sich aus je drei verschiedenen Positionen zusammen, nämlich aus einer Behandlungsgebühr für das als Baugesuch entgegen ge- nommene Werbeprojekt der Beschwerdeführerin in der Höhe von je Fr. 300.–, aus einer Unkostenpauschale von je Fr. 15.– und aus Fr. 500.– bzw. Fr. 250.– für die strassenverkehrsrechtliche Bewilli- gung der ein- und doppelseitigen Werbeträger. Es ergibt sich eine Summe von Fr. 815.– für den Standort H. und von Fr. 565.– für den Standort R., insgesamt Fr. 1'380.–. 2. (…) 2.2. In ihrer Verfügung vom 7. Februar 2007 subsumierte die Vorinstanz die Werbeträger der Beschwerdeführerin unter § 6 Abs. 1 lit. c des Gesetzes über Raumplanung, Umweltschutz und Bauwesen (Baugesetz, BauG) vom 19. Januar 1993, indem sie davon ausging,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