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AGVE_2005_120 vom 21. September 2005</w:t>
      </w:r>
    </w:p>
    <w:p>
      <w:r>
        <w:t>Ag Regierungsrat, 2005-09-21, DE</w:t>
      </w:r>
    </w:p>
    <w:p>
      <w:r>
        <w:rPr>
          <w:b/>
        </w:rPr>
        <w:t xml:space="preserve">Quelle: </w:t>
      </w:r>
      <w:r>
        <w:t>https://mcp.opencaselaw.ch/entscheid/ag_regierungsrat_AGVE_2005_120</w:t>
      </w:r>
    </w:p>
    <w:p>
      <w:r>
        <w:t>FR: AG_REGIERUNGSRAT AGVE_2005_120 du 21 septembre 2005</w:t>
      </w:r>
    </w:p>
    <w:p>
      <w:r>
        <w:t>IT: AG_REGIERUNGSRAT AGVE_2005_120 del 21 settembre 2005</w:t>
      </w:r>
    </w:p>
    <w:p>
      <w:pPr>
        <w:pStyle w:val="Heading2"/>
      </w:pPr>
      <w:r>
        <w:t>Regeste</w:t>
      </w:r>
    </w:p>
    <w:p>
      <w:r>
        <w:t>Besitzstandsgarantie. - Anwendung der Regeln der Besitzstandsgarantie bei Vorliegen eines Beseitigungsrevers (Erw. 2 und 3). - Änderung einer landwirtschaftliche Wohnbaute zwecks landwirtschaftsfremder Wohnnutzung (Erw. 4).</w:t>
      </w:r>
    </w:p>
    <w:p>
      <w:pPr>
        <w:pStyle w:val="Heading2"/>
      </w:pPr>
      <w:r>
        <w:t>Erwägungen</w:t>
      </w:r>
    </w:p>
    <w:p>
      <w:r>
        <w:rPr>
          <w:b/>
        </w:rPr>
        <w:t>E. 1</w:t>
      </w:r>
    </w:p>
    <w:p>
      <w:r>
        <w:t>Strittig ist vorliegend einzig, ob die Beschwerdeführerin an der nordöstlichen, gegen den Wald gerichteten Seite des Wohnhau- ses, das Dach anheben, eine Lukarne einbauen sowie einen Treppen- anbau an der Aussenseite erstellen darf. Mit diesen Massnahmen soll ermöglicht werden, dass im zurzeit 9 ½ Zimmer umfassenden Wohn- haus zwei voneinander getrennte Wohneinheiten entstehen, welche von zwei der insgesamt 6 Erben bewohnt werden können. (…)</w:t>
      </w:r>
    </w:p>
    <w:p>
      <w:r>
        <w:rPr>
          <w:b/>
        </w:rPr>
        <w:t>E. 2</w:t>
      </w:r>
    </w:p>
    <w:p>
      <w:r>
        <w:t>Das Raumplanungsgesetz regelt die Besitzstandsgarantie in den Art. 24c ("Bestehende zonenwidrige Bauten und Anlagen ausser- halb der Bauzonen") und 24d ("Kantonalrechtliche Ausnahmen für Bauten und Anlagen ausserhalb der Bauzonen"). Vorliegend gelangt Art. 24d RPG zur Anwendung, da das Wohnhaus nicht, wie Art. 24c RPG erfordert, durch die nachträgliche Änderung von Erlassen oder Plänen zonenwidrig geworden ist, sondern durch Aufgabe der land- wirtschaftlichen Nutzung durch den bzw. die Eigentümer (vgl. Art. 41 RPV sowie RRB Art. Nr. …). Gemäss Art. 24d Abs. 1 RPG kann das kantonale Recht in land- wirtschaftlichen Wohnbauten, die in ihrer Substanz erhalten sind, landwirtschaftsfremde Wohnnutzung zulassen. Der kantonale Ge- setzgeber hat in § 69 Abs. 1 BauG festgelegt, dass in landwirtschaft- lichen Wohnbauten im Rahmen des Bundesrechts landwirtschafts- fremde Wohnnutzungen bewilligt werden. Die Koordinationsstelle Baugesuche hat in ihrer Verfügung vom 12. November 2004 ausgeführt, die Regeln der Besitzgarantie ge-</w:t>
      </w:r>
    </w:p>
    <w:p>
      <w:r>
        <w:t>2005 Bau -, Raumplanungs- und Umweltschutz 561 langten infolge des bestehenden Beseitigungsrevers nicht zur An- wendung. Im Sinne der Verhältnismässigkeit könnten die Massnah- men zur Förderung einer zeitgemässen Wohnhygiene (Terrasse, neue Raumaufteilung, Dachfenster, Badeeinbau) indessen toleriert wer- den. Einem allfälligen Begehren um Löschung des Beseitigungsre- vers könne nicht zugestimmt werden. Da der Revers Bestandteil der Baubewilligung aus dem Jahre 1974 sei, könne dessen Aufhebung nur im Rahmen eines ordentlichen Baubewilligungsverfahrens erfol- gen. Nachdem das Grundstück ausserhalb der Bauzonen liege, sei die kantonale Zustimmung notwendig. Diese könne indessen nicht erteilt werden. Die Beschwerdeführerin hält dieser Rechtsauffassung die Nichtigkeit des Revers entgegen; im Übrigen sei der Gemeinderat für dessen Aufhebung zuständig, da er diesen allein auch verfügt habe. Es ist daher zu prüfen, ob der Beseitigungsrevers der Anwen- dung der Besitzstandsgarantie entgegensteht.</w:t>
      </w:r>
    </w:p>
    <w:p>
      <w:r>
        <w:rPr>
          <w:b/>
        </w:rPr>
        <w:t>E. 3</w:t>
      </w:r>
    </w:p>
    <w:p>
      <w:r>
        <w:t>a) Vorab ist festzuhalten, dass aufgrund des Wortlauts von Art. 24d Abs. 1 RPG jedenfalls nicht abgeleitet werden kann, dass ein Beseitungsrevers dessen Anwendbarkeit verhindern würde. Vor- aussetzung für die kantonale Besitzstandsgarantie für ehemalige landwirtschaftliche Wohnbauten ist allein die "erhaltene Bausub- stanz", deren Schutz Sinn und Zweck der Bestimmung ist. Im vorliegenden Fall liegt in tatsächlicher Hinsicht mit einem 9 ½ Zimmer-Wohnhaus unbestrittenermassen eine erhaltenswürdige Bausubstanz vor. Der Beseitigungsrevers könnte eine Anwendung der Bestimmung daher nur verhindern, wenn angenommen würde, mit dem Revers sei die Erhaltenswürdigkeit der Bausubstanz in rechtlicher Hinsicht in Frage zu stellen. Diese Rechtsfrage kann hier offengelassen werden, da die nachfolgenden Ausführungen zeigen, dass der Revers ohnehin beseitigbar ist. b) Gemäss Ziffer 15 der Baubewilligung des Gemeinderates F. vom 29. Juli 1974 gilt der "im Anhang an diese Baubewilligung zu unterzeichnende Revers" als integrierender Bestandteil derselben. Er wurde in der Folge am 30. Juli 1974 zwischen der Einwohnerge- meinde F., vertreten durch den Gemeinderat, und S. W. "abgeschlos- sen" und am 12. August 1974 im Grundbuch B. angemerkt. Darin verpflichtete sich S. W., das Wohnhaus mit 3 Garagen, Remise, Stal-</w:t>
      </w:r>
    </w:p>
    <w:p>
      <w:r>
        <w:t>562 Verwaltungsbehörden 2005 lungen und Silo nur für landwirtschaftliche und gemüsebauliche Zwecke zu verwenden. Der Gemeinderat seinerseits erklärte, von sei- nem Widerrufsrecht nur dann Gebrauch zu machen, wenn die auf Parzelle Nr. 133 stehenden Bauten für andere als landwirtschaftliche oder gemüsebauliche Zwecke verwendet würden. Nachdem die landwirtschaftliche Nutzung unbestrittenermassen vor rund 9 Jahren aufgegeben worden ist, tritt das Widerrufsrecht des Gemeinderates gemäss dem Revers in Kraft. Die Regeln der Besitz- standsgarantie zur Anwendung gelangen zu lassen, wenn die Bauten zu beseitigen sind, macht keinen Sinn. Der Gemeinderat hat nun aber erklärt, dass er den Beseitigungsrevers nicht durchsetzen, sondern aufheben wolle; nachdem die Liegenschaft ausserhalb Baugebiet liege, sei er indessen dafür nicht allein zuständig. c) Der Revers ist zwar Teil der Baubewilligung von 1974, aber damit ist noch nicht entschieden, ob dessen Aufhebung tatsächlich eine Änderung der Baubewilligung erfordert. Angesichts der Vorge- schichte könnte nämlich ohne weiteres davon ausgegangen werden, dass der Revers aufgrund einer zwischen der Gemeinde F. und S. W. abgeschlossenen, umfassenden zivil- und öffentlichrechtlich wirken- den Vereinbarung zustande gekommen ist, welche den Landerwerb der Gemeinde und die Umsiedlung des Betriebes umfasste. Wäre der Revers folglich vertraglich entstanden, käme der anschliessend erteil- ten Baubewilligung diesbezüglich keine konstitutive Wirkung mehr zu und die Vertragsparteien bzw. deren Rechtsnachfolger wäre ohne weiteres befugt, wiederum durch gemeinsamen Vertrag die verein- barte Pflicht zu beenden. Wie dem auch sei: Es ist jedenfalls aufgrund der diesbezüglich massgeblichen Bestimmung von § 59 BauG nicht erkennbar, weshalb für die Aufhebung des Revers ein erneutes Baubewilligungsverfah- ren durchzuführen ist. Es stellt sich lediglich die Frage, ob der Kan- ton einer allfälligen Löschung zuzustimmen hat. Auch dies ist zu ver- neinen, nachdem der Revers nicht aufgrund einer Forderung im Rah- men der kantonalen Zustimmung zum Baugesuch im Jahre 1974 be- gründet worden ist. Damals wie heute brauchte es zum Bauvorhaben zwar eine kantonale Zustimmung; wenn nun diese damals aber ohne irgendwelche Nebenbestimmungen erteilt worden ist, ist nicht</w:t>
      </w:r>
    </w:p>
    <w:p>
      <w:r>
        <w:t>2005 Bau -, Raumplanungs- und Umweltschutz 563 ersichtlich, wieso es nun heute für eine Aufhebung einer gemeinde- rätlichen Nebenbestimmung das Einverständnis des Kantons brau- chen sollte. Hinzu kommt weiter, dass seitens des Baudepartements wie auch des Gemeinderats F. Einigkeit darüber besteht, dass die Durchsetzung des Beseitigungsrevers unverhältnismässig wäre und keine öffentlichen Interessen bzw. Gründe dargelegt wurden, wieso der Revers noch notwendig sei. Im Gegenteil behindert der Beseiti- gungsrevers sogar die Finanzierung der gewässerschutzrechtlich not- wendigen Sanierung der Liegenschaft. Es liegt damit auch im öffent- lichen Interesse, den Revers zu beseitigen und damit die in Aussicht stehende Investition zu erleichtern. d) Demgemäss ist festzuhalten, dass der Gemeinderat F. für die Löschung des Beseitigungsrevers keine kantonale Zustimmung braucht und ihn von sich aus löschen lassen kann. Nachdem es seine Sache ist, diesen aufzuheben, kann offen bleiben, ob der Revers nichtig und ob die Voraussetzungen des Widerrufs bzw. der Widerer- wägung gemäss den §§ 25 ff. VRPG zur Anwendung gelangen.</w:t>
      </w:r>
    </w:p>
    <w:p>
      <w:r>
        <w:rPr>
          <w:b/>
        </w:rPr>
        <w:t>E. 4</w:t>
      </w:r>
    </w:p>
    <w:p>
      <w:r>
        <w:t>Verfahren a) Es stellt sich im vorliegenden Verfahren die Frage, ob nebst den beiden Anzeigern F. und T. allenfalls auch noch weiteren betrof- fenen Anwohnerinnen und Anwohnern schon bereits durch den Stadtrat X. hätte Gelegenheit eingeräumt werden müssen, sich am bisherigen Verfahren zu beteiligen, nicht zuletzt, um den Entscheid des Stadtrats für alle Betroffenen verbindlich werden zu lassen. Dies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