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AGVE_2001_125 vom 8. November 2000</w:t>
      </w:r>
    </w:p>
    <w:p>
      <w:r>
        <w:t>Ag Regierungsrat, 2000-11-08, DE</w:t>
      </w:r>
    </w:p>
    <w:p>
      <w:r>
        <w:rPr>
          <w:b/>
        </w:rPr>
        <w:t xml:space="preserve">Quelle: </w:t>
      </w:r>
      <w:r>
        <w:t>https://mcp.opencaselaw.ch/entscheid/ag_regierungsrat_AGVE_2001_125</w:t>
      </w:r>
    </w:p>
    <w:p>
      <w:r>
        <w:t>FR: AG_REGIERUNGSRAT AGVE_2001_125 du 8 novembre 2000</w:t>
      </w:r>
    </w:p>
    <w:p>
      <w:r>
        <w:t>IT: AG_REGIERUNGSRAT AGVE_2001_125 del 8 novembre 2000</w:t>
      </w:r>
    </w:p>
    <w:p>
      <w:pPr>
        <w:pStyle w:val="Heading2"/>
      </w:pPr>
      <w:r>
        <w:t>Regeste</w:t>
      </w:r>
    </w:p>
    <w:p>
      <w:r>
        <w:t>Massnahmenplan. Eine vorgängige Anpassung der Zonenplanbestimmungen ist nicht erforderlich, wenn es darum geht, gestützt auf einen Massnahmenplan Emissionen einzugrenzen, die über dem «Zonendurchschnitt» liegen.</w:t>
      </w:r>
    </w:p>
    <w:p>
      <w:pPr>
        <w:pStyle w:val="Heading2"/>
      </w:pPr>
      <w:r>
        <w:t>Erwägungen</w:t>
      </w:r>
    </w:p>
    <w:p>
      <w:r>
        <w:rPr>
          <w:b/>
        </w:rPr>
        <w:t>E. 2</w:t>
      </w:r>
    </w:p>
    <w:p>
      <w:r>
        <w:t>a) § 36 VRPG mit der Marginale «Parteientschädigung» lau- tet: «1Im Beschwerdeverfahren vor Verwaltungsgericht ist dem Obsiegen- den eine angemessene Entschädigung für die Kosten der Vertretung, der Verbeiständung oder Beratung durch Anwälte und weitere Sachverständige zuzusprechen. Die Entschädigung ist den Umständen entsprechend dem Unterliegenden oder dem interessierten Gemeinwesen oder beiden anteil- weise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