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HSU.2026.13 vom 1. April 2026</w:t>
      </w:r>
    </w:p>
    <w:p>
      <w:r>
        <w:t>Ag Handelsgericht, 2026-04-01, DE</w:t>
      </w:r>
    </w:p>
    <w:p>
      <w:r>
        <w:rPr>
          <w:b/>
        </w:rPr>
        <w:t xml:space="preserve">Quelle: </w:t>
      </w:r>
      <w:r>
        <w:t>https://mcp.opencaselaw.ch/entscheid/ag_handelsgericht_HSU.2026.13</w:t>
      </w:r>
    </w:p>
    <w:p>
      <w:r>
        <w:t>FR: AG_HANDELSGERICHT HSU.2026.13 du 1 avril 2026</w:t>
      </w:r>
    </w:p>
    <w:p>
      <w:r>
        <w:t>IT: AG_HANDELSGERICHT HSU.2026.13 del 1 aprile 2026</w:t>
      </w:r>
    </w:p>
    <w:p>
      <w:pPr>
        <w:pStyle w:val="Heading2"/>
      </w:pPr>
      <w:r>
        <w:t>Erwägungen</w:t>
      </w:r>
    </w:p>
    <w:p>
      <w:r>
        <w:rPr>
          <w:b/>
        </w:rPr>
        <w:t>E. 2</w:t>
      </w:r>
    </w:p>
    <w:p>
      <w:r>
        <w:t>Kammer HSU.2026.13 / as / as Entscheid vom 1. April 2026 Besetzung Oberrichter Vetter, Präsident Gerichtsschreiber Schneuwly Gesuchstellerin C._____ GmbH, vertreten durch Dr. iur. Roger Baumberger, Baumberger + Frey, Rechts- anwalt, Bachstrasse 57, Postfach 2141, 5001 Aarau Gesuchsgegne- F._____ AG, rin vertreten durch lic. iur. Simon Kohler, Kohler Law GmbH, Rechtsanwalt, Leutschenbachstrasse 95, 8050 Zürich Gegenstand Summarisches Verfahren betreffend superprovisorische Eintragung eines Bauhandwerkerpfandrechts</w:t>
      </w:r>
    </w:p>
    <w:p>
      <w:r>
        <w:t>- 2 - Der Präsident entnimmt den Akten: 1. Die Gesuchstellerin ist eine Gesellschaft mit beschränkter Haftung mit Sitz in Z._____. Sie bezweckt im Wesentlichen […] (Gesuchsbeilage [GB] 2).</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 1 BGE 137 III 563 E. 3.3, 86 I 265 E. 3; vgl. auch SCHUMACHER/REY, Das Bauhandwerkerpfandrecht, 4. Aufl. 2022, N. 1533 ff.; BSK ZGB II-THURNHERR, 7. Aufl. 2023, Art. 839/840 N. 37. 2 BGE 86 I 265 E. 3, 102 Ia 81 E. 2b.bb; BGer 5A_426/2015 vom 8. Oktober 2015 E. 3.4, 5A_924/2014 vom 7. Mai 2015 E. 4.1.2; SCHUMACHER/REY (Fn. 1), N. 1533. 3 SCHUMACHER/REY (Fn. 1), N. 719; VETTER/CARBONARA, Das Bauhandwerkerpfandrecht, 2023, N. 51 f.</w:t>
      </w:r>
    </w:p>
    <w:p>
      <w:r>
        <w:t>- 5 -</w:t>
      </w:r>
    </w:p>
    <w:p>
      <w:r>
        <w:rPr>
          <w:b/>
        </w:rPr>
        <w:t>E. 2.3</w:t>
      </w:r>
    </w:p>
    <w:p>
      <w:r>
        <w:t>Von den Anforderungen an die Glaubhaftmachung im Sinn von Art. 961 Abs. 3 ZGB sind die Anforderungen an die Tatsachenbehauptung und Sub- stantiierung zu unterscheiden.4 Das herabgesetzte Beweismass der Glaub- haftmachung entbindet die gesuchstellende Partei aber nicht davon, ihre Tatsachendarstellung zu substantiieren. Welche Tatsachen wie weit zu be- haupten und zu substantiieren sind, damit sie unter die massgeblichen Bestimmungen des materiellen Rechts subsumiert werden können, be- stimmt das materielle Bundesrecht. Mit anderen Worten hat die ein Recht in Anspruch nehmende Partei im Prozess jene anspruchsbegründenden Tatsachen zu behaupten, die unter die massgeblichen Normen zu subsu- mieren sind. Der Behauptungslast ist genüge getan, wenn der behauptete Tatsachenvortrag bei Unterstellung, er sei wahr, den Schluss auf die ver- langte Rechtsfolge zulässt. Diese Anforderung gilt unabhängig von der Art des Verfahrens, in welchem ein Anspruch geltend gemacht wird, nament- lich auch im Summarverfahren. Da im Summarverfahren nur in Ausnahme- fällen ein zweiter Schriftenwechsel angeordnet wird, muss die gesuchstel- lende Person in Erwartung der gegnerischen Bestreitungen bereits in ihrer ersten Eingabe hinreichend substantiieren.5 3. Eintragungsfrist</w:t>
      </w:r>
    </w:p>
    <w:p>
      <w:r>
        <w:rPr>
          <w:b/>
        </w:rPr>
        <w:t>E. 3</w:t>
      </w:r>
    </w:p>
    <w:p>
      <w:r>
        <w:t>Mit Gesuch vom 4. März 2026 (persönlich überbracht: 4. März 2026) stellte die Gesuchstellerin die folgenden Rechtsbegehren:</w:t>
      </w:r>
    </w:p>
    <w:p>
      <w:r>
        <w:t>- 3 -</w:t>
      </w:r>
    </w:p>
    <w:p>
      <w:r>
        <w:rPr>
          <w:b/>
        </w:rPr>
        <w:t>E. 3.1</w:t>
      </w:r>
    </w:p>
    <w:p>
      <w:r>
        <w:t>Die Gerichtskosten in der Höhe von Fr. 4'050.00 werden der Gesuchstelle- rin auferlegt und mit dem von ihr geleisteten Gerichtskostenvorschuss in der Höhe von Fr. 2'025.00 verrechnet. Den Fehlbetrag in der Höhe von Fr. 2'025.00 hat die Gesuchstellerin mit beiliegendem Einzahlungsschein der Obergerichtskasse zu bezahlen.</w:t>
      </w:r>
    </w:p>
    <w:p>
      <w:r>
        <w:rPr>
          <w:b/>
        </w:rPr>
        <w:t>E. 3.1.1</w:t>
      </w:r>
    </w:p>
    <w:p>
      <w:r>
        <w:t>Gesuchstellerin Die Gesuchstellerin behauptet, sie habe für das zwei Mehrfamilienhäuser umfassende Bauprojekt (Gesuch Rz. I/2) sämtliche Holzbauarbeiten er- bracht (Gesuch Rz. II/1). Am 12. November 2025 habe die Gesuchstellerin einen Unterstand fertiggestellt, der Teil des Werkvertrages und im verein- barten Werklohn inbegriffen gewesen sei (Gesuch Rz. I/4; GB 5 f.). Die Viermonatsfrist habe somit am 12. November 2025 zu laufen begonnen (Gesuch Rz. II/3).</w:t>
      </w:r>
    </w:p>
    <w:p>
      <w:r>
        <w:rPr>
          <w:b/>
        </w:rPr>
        <w:t>E. 3.1.2</w:t>
      </w:r>
    </w:p>
    <w:p>
      <w:r>
        <w:t>Gesuchsgegnerin Die Gesuchsgegnerin macht geltend, auf dem streitgegenständlichen Grundstück seien zwei Mehrfamilienhäuser erstellt worden (Antwort Rz. 9). Die Vertragspartnerin der Gesuchstellerin habe wegen des massiven Ver- zugs der Gesuchstellerin verlangt, dass sie einen Unterstand kostenlos er- stelle, womit diese einverstanden gewesen sei. Teil des Hauptvertrags habe der Unterstand aber nicht sein sollen. Es habe sich um einen kosten- losen Zusatzauftrag gehandelt (Antwort Rz. 55). Beim Holzunterstand handle es sich ferner um ein eigenständiges, von den beiden Mehrfamili- enhäusern losgelöstes Werk (Antwort Rz. 57). Es bestünde keine konstruk- tive Verbindung zwischen dem Holzunterstand und den beiden 4 BGer 5A_1102/2025 vom 18. Februar 2026 E. 3.3. 5 BGer 5A_1102/2025 vom 18. Februar 2026 E. 3.3, 5A_353/2025 vom 2. Oktober 2025 E. 3.3 je m.w.N.</w:t>
      </w:r>
    </w:p>
    <w:p>
      <w:r>
        <w:t>- 6 - Mehrfamilienhäusern. Die Erstellung des Unterstands habe keinen Einfluss auf die Eintragungsfristen der beiden Mehrfamilienhäuser. Es habe sich bei den Arbeiten am Unterstand nicht um Vollendungsarbeiten der beiden Mehrfamilienhäuser gehandelt (Antwort Rz. 58). Bei verschiedenen Ge- bäuden auf demselben Grundstück beginne die Eintragungsfrist grundsätz- lich getrennt zu laufen. Ausnahmen hierzu lägen nicht vor (Antwort Rz. 59). Schliesslich habe die Gesuchstellerin bereits in ihrer Offerte nach den bei- den Mehrfamilienhäusern aufgeteilt, sodass es für sie ein Leichtes gewe- sen wäre, die jeweils letzten Arbeiten pro Mehrfamilienhaus zu bestimmen (Antwort Rz. 61).</w:t>
      </w:r>
    </w:p>
    <w:p>
      <w:r>
        <w:rPr>
          <w:b/>
        </w:rPr>
        <w:t>E. 3.2</w:t>
      </w:r>
    </w:p>
    <w:p>
      <w:r>
        <w:t>Die Gesuchstellerin hat der Gesuchsgegnerin eine Parteientschädigung in richterlich festgesetzter Höhe von Fr. 5'188.80 (inkl. 8.1 % MwSt. und Aus- lagen) zu ersetzen.</w:t>
      </w:r>
    </w:p>
    <w:p>
      <w:r>
        <w:rPr>
          <w:b/>
        </w:rPr>
        <w:t>E. 3.3</w:t>
      </w:r>
    </w:p>
    <w:p>
      <w:r>
        <w:t>Würdigung Die Gesuchstellerin hat die Holzbauarbeiten für zwei Mehrfamilienhäuser sowie für einen Aussenunterstand erstellt. Die Gesuchstellerin behauptet einzig die letzten Arbeiten am Unterstand, nicht aber die letzten Arbeiten an den beiden Mehrfamilienhäusern. Zudem weist sie darauf hin, dass die Arbeiten an den beiden Mehrfamilienhäusern bereits viel früher vollendet waren, zumal deren Abnahme viel früher hätte stattfinden können (Stel- lungnehme vom 30. März 2026 Rz. II/7). Der Unterstand war kostenlos zu erstellen, da er zwar im Pauschalbetrag enthalten gewesen sein soll (GB 5), darin aber keine Erwähnung findet (GB 4). Vielmehr war der Pau- schalpreis auf den Franken genau auf die beiden Mehrfamilienhäuser auf- geteilt (GB 4 – Offerte vom 7. Juni 2024). Auch im Zahlungsplan findet der Unterstand keine Erwähnung (GB 4 – Zahlungsvereinbarung). Schliesslich macht die Gesuchstellerin für den Unterstand auch keinen zusätzlichen Werklohnanspruch geltend. Es stellt sich daher die Frage, ob die zwei Mehrfamilienhäuser und der Holzunterstand einem einheitlichen Fristenlauf unterliegen, andernfalls das Gesuch hinsichtlich der beiden Mehrfamilien- häuser mangels Einhaltung der Viermonatsfrist (die letzten Arbeiten wur- den nicht behauptet) und hinsichtlich des Holzunterstands mangels einer Pfandsumme abzuweisen sein wird. Dass die beiden Mehrfamilienhäuser und der Holzunterstand eine funktio- nelle Einheit bilden würden, behauptet die Gesuchstellerin in ihrem Gesuch nicht. Hinsichtlich des Beginns des Fristenlaufs liegt daher im Gesuch kein schlüssiger Tatsachenvortrag vor. Ihre erstmaligen diesbezüglichen</w:t>
      </w:r>
    </w:p>
    <w:p>
      <w:r>
        <w:rPr>
          <w:b/>
        </w:rPr>
        <w:t>E. 4</w:t>
      </w:r>
    </w:p>
    <w:p>
      <w:r>
        <w:t>Am 4. März 2026 erliess der Präsident folgende Verfügung:</w:t>
      </w:r>
    </w:p>
    <w:p>
      <w:r>
        <w:rPr>
          <w:b/>
        </w:rPr>
        <w:t>E. 5</w:t>
      </w:r>
    </w:p>
    <w:p>
      <w:r>
        <w:t>Das Grundbuchamt F. merkte die vorläufige Eintragung am 4. März 2026 (Tagebuchnummer 1738) im Tagebuch vor.</w:t>
      </w:r>
    </w:p>
    <w:p>
      <w:r>
        <w:rPr>
          <w:b/>
        </w:rPr>
        <w:t>E. 5.1</w:t>
      </w:r>
    </w:p>
    <w:p>
      <w:r>
        <w:t>Die Prozesskosten, bestehend aus Gerichtskosten und Parteientschädi- gung, werden der unterliegenden Partei auferlegt (Art. 95 Abs. 1 und Art. 106 Abs. 1 ZPO). Ausgangsgemäss sind sie von der Gesuchstellerin zu tragen.</w:t>
      </w:r>
    </w:p>
    <w:p>
      <w:r>
        <w:rPr>
          <w:b/>
        </w:rPr>
        <w:t>E. 5.2</w:t>
      </w:r>
    </w:p>
    <w:p>
      <w:r>
        <w:t>Unter Berücksichtigung des verursachten Aufwands sowie des Umfangs der Streitigkeit werden die Gerichtskosten auf Fr. 4'050.00 festgesetzt (§ 8 GebührD) und mit dem von der Gesuchstellerin geleisteten Kostenvor- schuss in der Höhe von Fr. 2'025.00 verrechnet (Art. 111 Abs. 1 ZPO). Der Fehlbetrag von Fr. 2'025.00 wird bei der Gesuchstellerin nachgefordert.</w:t>
      </w:r>
    </w:p>
    <w:p>
      <w:r>
        <w:rPr>
          <w:b/>
        </w:rPr>
        <w:t>E. 5.3</w:t>
      </w:r>
    </w:p>
    <w:p>
      <w:r>
        <w:t>Die Gesuchstellerin hat der Gesuchsgegnerin zudem eine Parteientschä- digung zu bezahlen (Art. 106 Abs. 1 ZPO). Die Parteientschädigung wird nach dem Streitwert – vorliegend Fr. 297'669.31 – bemessen (vgl. § 3 AnwT). Ausgehend von einer Grundentschädigung von Fr. 23'327.45 (§ 3 Abs. 1 lit. a Ziff. 7 AnwT) resultiert nach Vornahme eines Summarabzugs von 75 % (§ 3 Abs. 2 AnwT) ein Betrag von Fr. 5'831.85. Damit sind insbe- sondere eine Rechtsschrift und die Teilnahme an einer behördlichen Ver- handlung abgegolten (vgl. § 6 Abs. 1 AnwT). Nach einem weiteren Abzug von 20 % wegen der nicht durchgeführten Verhandlung (§ 6 Abs. 2 AnwT) und nach Hinzurechnung einer Auslagenpauschale (§ 13 Abs. 1 AnwT) von praxisgemäss rund 3 % resultiert ein Betrag in der Höhe von gerundet Fr. 4'800.00, den die Gesuchstellerin der Gesuchsgegnerin als Parteient- schädigung zu bezahlen hat.</w:t>
      </w:r>
    </w:p>
    <w:p>
      <w:r>
        <w:t>- 10 - Dem gesuchsgegnerischen Antrag auf Zusprechung des Mehrwertsteuer- zuschlags ist stattzugeben, zumal die Gesuchsgegnerin gemäss UID-Re- gister19 nicht mehrwertsteuerpflichtig ist und damit die ihrem Anwalt be- zahlte Mehrwertsteuer auch nicht als Vorsteuer von ihrer eigenen Mehr- wertsteuerrechnung in Abzug bringen kann (Art. 28 MWSTG).20 Die Partei- entschädigung erhöht sich somit auf Fr. 5'188.80. Der Präsident erkennt: 1. Das Gesuch vom 4. März 2026 wird abgewiesen. 2. Das Grundbuchamt F. wird angewiesen, die zu Gunsten der Gesuchstel- lerin vorgenommene Vormerkung einer vorläufigen Eintragung eines Bau- handwerkerpfandrechts gemäss Art. 837/839 i.V.m. Art. 961 ZGB auf dem Grundstück der Gesuchsgegnerin, Grdst.-Nr. 12 GB F. (E-GRID: CH345234534535) für die Pfandsumme von Fr. 297'669.31 zuzüglich Zins zu 5 % ab dem 4. März 2026 zu löschen. 3.</w:t>
      </w:r>
    </w:p>
    <w:p>
      <w:r>
        <w:rPr>
          <w:b/>
        </w:rPr>
        <w:t>E. 6</w:t>
      </w:r>
    </w:p>
    <w:p>
      <w:r>
        <w:t>Mit Gesuchsantwort vom 17. März 2026 stellte die Gesuchsgegnerin fol- gende Rechtsbegehren: " 1. Es sei das Gesuch abzuweisen und es sei das zuständige Grundbuch- amt anzuweisen, das auf dem Grundstück Nr. aaa GB F. der Gesuchs- gegnerin zugunsten der Gesuchstellerin superprovisorisch</w:t>
      </w:r>
    </w:p>
    <w:p>
      <w:r>
        <w:t>- 4 - eingetragene Bauhandwerkerpfandrecht für eine Pfandsumme von CHF 297'669.31 nebst Zins zu 5 % seit 4. März (oder 1. Januar) 2026 vollumfänglich zu löschen. 2. Unter Kosten- und Entschädigungsfolgen (inkl. Zusprechung der Mehr- wertsteuer) zulasten der Gesuchstellerin."</w:t>
      </w:r>
    </w:p>
    <w:p>
      <w:r>
        <w:rPr>
          <w:b/>
        </w:rPr>
        <w:t>E. 7</w:t>
      </w:r>
    </w:p>
    <w:p>
      <w:r>
        <w:t>BSK ZGB II-THURNHERR (Fn. 1), Art. 839/840 N. 31a.</w:t>
      </w:r>
    </w:p>
    <w:p>
      <w:r>
        <w:rPr>
          <w:b/>
        </w:rPr>
        <w:t>E. 8</w:t>
      </w:r>
    </w:p>
    <w:p>
      <w:r>
        <w:t>SCHUMACHER/REY (Fn. 1), N. 1048 ff.</w:t>
      </w:r>
    </w:p>
    <w:p>
      <w:r>
        <w:rPr>
          <w:b/>
        </w:rPr>
        <w:t>E. 9</w:t>
      </w:r>
    </w:p>
    <w:p>
      <w:r>
        <w:t>BGer 5A_613/2015 vom 22. Januar 2016 E. 4 m.w.N.</w:t>
      </w:r>
    </w:p>
    <w:p>
      <w:r>
        <w:rPr>
          <w:b/>
        </w:rPr>
        <w:t>E. 10</w:t>
      </w:r>
    </w:p>
    <w:p>
      <w:r>
        <w:t>BGE 125 III 113 E. 3b; BGer 5A_144/2024 vom 22. Mai 2024 E. 4.1, 5A_574/2023 vom 28. Februar 2024 E. 3.1, 5A_630/2021 vom 26. November 2021 E. 3.3.2.4, 5A_282/2016 vom 17. Januar 2017 E. 7.1, 5D_116/2014 vom 13. Oktober 2014 E. 5.2.3; SCHUMACHER/REY (Fn. 1), N. 1182; SCHMID/HÜRLIMANN-KAUP, Sachenrecht, 6. Aufl. 2022, N. 1760.</w:t>
      </w:r>
    </w:p>
    <w:p>
      <w:r>
        <w:t>- 7 - wenn an diesen Bauwerken die gleichen bzw. gleichartige Bauarbeiten ausgeführt werden. Deshalb vollendet der Unternehmer für jedes einzelne Bauwerk die Bauarbeiten separat. Jede Arbeitsvollendung löst den Beginn einer gesonderten Viermonatsfrist aus.11 Unerheblich ist dabei, ob der Un- ternehmer aufgrund mehrerer oder bloss eines Bauvertrags tätig wird.12 Ausnahmsweise gilt für die Arbeiten an mehreren Bauwerken ein einheitli- cher Fristbeginn, wenn die Bauwerke eine funktionelle Einheit bilden und ausserdem zeitnah, d.h. entweder gleichzeitig oder unverzüglich nachei- nander ("d'un seul trait"13, "sukzessive"14), hergestellt werden.15 Dies ist etwa bei der sukzessiven Lieferung von Frischbeton für die Erstellung einer Tiefgarage der Fall, die den entsprechenden Mehrfamilienhäusern auf dem selbem Grundstück dient.16</w:t>
      </w:r>
    </w:p>
    <w:p>
      <w:r>
        <w:rPr>
          <w:b/>
        </w:rPr>
        <w:t>E. 11</w:t>
      </w:r>
    </w:p>
    <w:p>
      <w:r>
        <w:t>SCHUMACHER/REY (Fn. 1), N. 1182.</w:t>
      </w:r>
    </w:p>
    <w:p>
      <w:r>
        <w:rPr>
          <w:b/>
        </w:rPr>
        <w:t>E. 12</w:t>
      </w:r>
    </w:p>
    <w:p>
      <w:r>
        <w:t>SCHUMACHER/REY (Fn. 1), N. 1183.</w:t>
      </w:r>
    </w:p>
    <w:p>
      <w:r>
        <w:rPr>
          <w:b/>
        </w:rPr>
        <w:t>E. 13</w:t>
      </w:r>
    </w:p>
    <w:p>
      <w:r>
        <w:t>BGE 111 II 343 E. 2c; BGer 5A_574/2023 vom 28. Februar 2024 E. 3.1, 5A_630/2021 vom 26. No- vember 2021 E. 3.3.2.4, 5A_282/2016 vom 17. Januar 2017 E. 7.1, 5D_116/2014 vom 13. Oktober 2014 E. 5.2.3.</w:t>
      </w:r>
    </w:p>
    <w:p>
      <w:r>
        <w:rPr>
          <w:b/>
        </w:rPr>
        <w:t>E. 14</w:t>
      </w:r>
    </w:p>
    <w:p>
      <w:r>
        <w:t>BGer 5A_144/2024 vom 22. Mai 2024 E. 4.1.</w:t>
      </w:r>
    </w:p>
    <w:p>
      <w:r>
        <w:rPr>
          <w:b/>
        </w:rPr>
        <w:t>E. 15</w:t>
      </w:r>
    </w:p>
    <w:p>
      <w:r>
        <w:t>SCHUMACHER/REY (Fn. 1), N. 1184 ff.</w:t>
      </w:r>
    </w:p>
    <w:p>
      <w:r>
        <w:rPr>
          <w:b/>
        </w:rPr>
        <w:t>E. 16</w:t>
      </w:r>
    </w:p>
    <w:p>
      <w:r>
        <w:t>BGE 125 III 113 E. 3b, 111 II 343 E. 2c.</w:t>
      </w:r>
    </w:p>
    <w:p>
      <w:r>
        <w:t>- 8 - Behauptungen finden sich in der unaufgeforderten Stellungnahme vom 30. März 2026. Diese Ausführungen sind aber grundsätzlich verspätet, zu- mal im summarischen Verfahren im Normalfall nur ein Schriftenwechsel stattfindet, mit dessen Abschluss der Aktenschluss eintritt (vgl. oben E. 2.3).17 Unechte Noven können nur berücksichtigt werden, wenn die sie vorbringende Partei den Nachweis erbringt, dass ihr verspätetes Vorbrin- gen entschuldbar ist. Dies ist der Fall, wenn das Novum auch bei zumutba- rer Sorgfalt nicht schon vorher hätte vorgebracht werden können (Art. 219 i.V.m. Art. 229 Abs 2 lit. b ZPO).18 Die Gesuchstellerin entschuldigt ihr ver- spätetes Vorbringen nicht. Ihre neuen Behauptungen gemäss Stellung- nahme vom 30. März 2026 haben daher unberücksichtigt zu bleiben. Im Übrigen musste sie mit entsprechenden Bestreitungen und Vorbringen der Gesuchsgegnerin zur Einhaltung der Viermonatsfrist rechnen, zumal es sich dabei um ein zentrales Element der Eintragung eines Bauhandwerker- pfandrechts handelt. Selbst aufgrund der neuen Ausführungen der Gesuchstellerin in ihrer Stel- lungnahme vom 30. März 2026 ist ein funktioneller Zusammenhang der beiden Mehrfamilienhäuser und des Holzunterstands nicht glaubhaft ge- macht: Das blosse Behaupten eines solchen Zusammenhangs genügt je- denfalls nicht. Irrelevant ist zudem, ob der Holzunterstand – als Folge einer zweiseitigen Bestellungsänderung – Teil des ursprünglichen Werkvertrags wurde (vgl. hierzu Stellungnehme vom 30. März 2026 Rz. II/1) oder ein se- parates Vertragsverhältnis vorliegt. Es ist auch nicht ersichtlich, wofür die- ser Unterstand erstellt wurde, geschweige denn ist offensichtlich, dass die- ser Holzunterstand den beiden Mehrfamilienhäusern dienen soll (vgl. hierzu Stellungnehme vom 30. März 2026 Rz. II/1 und II/6). Die Gesuch- stellerin macht auch nicht geltend, dass die beiden Mehrfamilienhäuser und der Holzunterstand baulich, technisch oder nutzungsmässig derart mitei- nander verknüpft wären, dass sie nur gemeinsam sinnvoll erstellt oder ge- nutzt werden könnten. Vielmehr blieb unbestritten, dass es zwischen den beiden Mehrfamilienhäusern und dem Holzunterstand keine konstruktive Verbindung gibt. Ebenso wenig ist ersichtlich, dass die Erstellung der zwei Mehrfamilienhäuser und des Holzunterstands aus wirtschaftlicher Sicht als ein untrennbares Gesamtprojekt zu qualifizieren wäre, bei dem die Arbeiten der Gesuchstellerin nicht sinnvoll separat hätten abgeschlossen werden können – schliesslich wurde die Gesuchstellerin erst im Nachhinein mit den Holzbauarbeiten zum Unterstand beauftragt. Im Übrigen scheinen die bei- den Mehrfamilienhäuser und der Holzunterstand auch nur mit einem erheb- lichen zeitlichen Unterbruch erstellt worden zu sein, zumal die Gesuchstel- lerin selber ausführt, die Abnahme der beiden Mehrfamilienhäuser hätte bereits viel früher stattfinden können und auch die Schlussrechnung wäre</w:t>
      </w:r>
    </w:p>
    <w:p>
      <w:r>
        <w:rPr>
          <w:b/>
        </w:rPr>
        <w:t>E. 17</w:t>
      </w:r>
    </w:p>
    <w:p>
      <w:r>
        <w:t>BGE 146 III 237 E. 3.1; 144 III 117 E. 2.2; BGer 5A_144/2024 vom 22. Mai 2024 E. 3.1.</w:t>
      </w:r>
    </w:p>
    <w:p>
      <w:r>
        <w:rPr>
          <w:b/>
        </w:rPr>
        <w:t>E. 18</w:t>
      </w:r>
    </w:p>
    <w:p>
      <w:r>
        <w:t>BSK ZPO-WILLISEGGER, 4. Aufl. 2024, Art. 229 N. 33.</w:t>
      </w:r>
    </w:p>
    <w:p>
      <w:r>
        <w:t>- 9 - viel früher gestellt worden, wäre der Holzunterstand nicht die Vollendungs- arbeit gewesen (Stellungnehme vom 30. März 2026 Rz. II/7). Wann die beiden Mehrfamilienhäuser fertiggestellt wurden, behauptet die Gesuchstellerin – wie ausgeführt – nicht. Hinsichtlich des Holzunterstands wäre die viermonatige Eintragungsfrist mit der vorläufigen Vormerkung vom 4. März 2026 zwar grundsätzlich gewahrt. Die Gesuchstellerin macht be- treffend den Holzunterstand indessen keine Pfandsumme geltend. Eine solche ist auch nicht ersichtlich, da diesem nämlich keine Position des ur- sprünglichen Pauschalbetrags gewidmet wurde und daher kostenlos zu er- stellen war. 4. Ergebnis Zusammenfassend sind die Voraussetzungen für die vorläufige Eintragung eines Bauhandwerkerpfandrechts nicht erfüllt, sodass das Gesuch abzu- weisen ist. 5. Prozesskosten</w:t>
      </w:r>
    </w:p>
    <w:p>
      <w:r>
        <w:rPr>
          <w:b/>
        </w:rPr>
        <w:t>E. 19</w:t>
      </w:r>
    </w:p>
    <w:p>
      <w:r>
        <w:t>Vgl. &lt;https://www.uid.admin.ch/[...]&gt; (zuletzt besucht am 1. April 2026).</w:t>
      </w:r>
    </w:p>
    <w:p>
      <w:r>
        <w:rPr>
          <w:b/>
        </w:rPr>
        <w:t>E. 20</w:t>
      </w:r>
    </w:p>
    <w:p>
      <w:r>
        <w:t>Vgl. Merkblatt zur Frage der Berücksichtigung der Mehrwertsteuer bei der Bemessung der Partei- entschädigung der Gerichte des Kantons Aargau vom 11. Januar 2016: &lt;https://www.ag.ch/me- dia/kanton-aargau/jb/dokumente/obergericht/handelsgericht/merkblatt-mwst.pdf&gt; (zuletzt besucht am 5. März 2026).</w:t>
      </w:r>
    </w:p>
    <w:p>
      <w:r>
        <w:t>- 11 - Zustellung an: − die Gesuchstellerin (Vertreter; zweifach mit Einzahlungsschein) − die Gesuchsgegnerin (Vertreter; zweifach mit Doppel der Eingabe der Gesuchstellerin vom 30. März 2026) Zustellung an: − das Grundbuchamt F. (nach Ablauf der Rechtsmittelfrist) 4.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1. April 2026 Handelsgericht des Kantons Aargau 2. Kammer Der 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