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HSU.2022.41 vom 23. Februar 2023</w:t>
      </w:r>
    </w:p>
    <w:p>
      <w:r>
        <w:t>Ag Handelsgericht, 2023-02-23, DE</w:t>
      </w:r>
    </w:p>
    <w:p>
      <w:r>
        <w:rPr>
          <w:b/>
        </w:rPr>
        <w:t xml:space="preserve">Quelle: </w:t>
      </w:r>
      <w:r>
        <w:t>https://mcp.opencaselaw.ch/entscheid/ag_handelsgericht_HSU.2022.41</w:t>
      </w:r>
    </w:p>
    <w:p>
      <w:r>
        <w:t>FR: AG_HANDELSGERICHT HSU.2022.41 du 23 février 2023</w:t>
      </w:r>
    </w:p>
    <w:p>
      <w:r>
        <w:t>IT: AG_HANDELSGERICHT HSU.2022.41 del 23 febbraio 2023</w:t>
      </w:r>
    </w:p>
    <w:p>
      <w:pPr>
        <w:pStyle w:val="Heading2"/>
      </w:pPr>
      <w:r>
        <w:t>Erwägungen</w:t>
      </w:r>
    </w:p>
    <w:p>
      <w:r>
        <w:rPr>
          <w:b/>
        </w:rPr>
        <w:t>E. 1</w:t>
      </w:r>
    </w:p>
    <w:p>
      <w:r>
        <w:t>Kammer HSU.2022.41 Entscheid vom 23. Februar 2023 Besetzung Oberrichter Dubs, Präsident Gerichtsschreiberin Näf Gesuchstellerin A._____ vertreten durch lic. iur. Niklaus Schoch, Rechtsanwalt, und lic. iur. Seraina Bazzani-Testa, Rechtsanwältin, Birmensdorferstrasse 83, 8003 Zürich Gesuchsgegne- B._____ rin vertreten durch lic. iur. Daniel Grunder, Rechtsanwalt, und MLaw Ramona Williner, Rechtsanwältin, Zugerstrasse 32, Postfach, 6341 Baar gesuchsgegneri- C._____ sche Nebenin- vertreten durch lic. iur. Simon Kohler, Rechtsanwalt, Postfach, 8058 Zü- tervenientin rich Gegenstand Summarisches Verfahren betreffend Bauhandwerkerpfandrecht</w:t>
      </w:r>
    </w:p>
    <w:p>
      <w:r>
        <w:t>- 2 - Der Präsident entnimmt den Akten: Die Gesuchstellerin ist eine Aktiengesellschaft mit Sitz in Q.. Sie bezweckt die Führung der Geschäftszweige Bauunternehmung, Generalunterneh- mung, Kauf und Verkauf von Immobilien und Beteiligungen (Gesuchsbei- lage [GB] 2). Die Gesuchstellerin verfügt in R. über eine Zweigniederlassung gleichen Namens (GB 1). Die Gesuchsgegnerin ist eine Aktiengesellschaft mit Sitz in S.. Sie hat ins- besondere das Kaufen, Verkaufen und Verwalten von Immobilien im In- und Ausland zum Zweck (GB 9). Die Gesuchsgegnerin ist Alleineigentümerin des Grundstücks GB T. Nr. B sowie der von diesem dominierten Grundstücke GB T. Nrn. CE, CF, CH, CI, CO, CP, CAA, CAB, CAC, CAD, CAE, CAF, CAF, CAG, CAH, CAI, CAJ, CAK, CAL und CAM (GB 5 und 8). Mit Gesuch vom 8. Dezember 2022 (gleichentags persönlich überbracht) stellte die Gesuchstellerin die folgenden Rechtsbegehren: " 1. Das Grundbuchamt X. sei gerichtlich anzuweisen, zu Gunsten der Gesuchstellerin und zu Lasten der nachstehenden Grund- stücke (in T.) die folgenden Pfandsummen zuzüglich 5 % Zins seit dem 29. November 2022 im Grundbuch als vorläufige Ein- tragung vorzumerken: Grundstück-Nr. Pfandsumme in CHF B 39'080.30 CE 2'094.80 CF 2'094.80 CH 2'094.80 CI 2'094.80 CO 2'094.80 CP 2'094.80 CAA 2'094.80 CAB 2'094.80 CAC 2'094.80 CAD 2'094.80 CAE 2'094.80 CAF 2'094.80 CAG 2'094.80 CAH 2'094.80 CAI 2'094.80 CAJ 2'094.80</w:t>
      </w:r>
    </w:p>
    <w:p>
      <w:r>
        <w:t>- 3 - CAK 2'094.80 CAL 2'094.80 CAM 2'094.80</w:t>
      </w:r>
    </w:p>
    <w:p>
      <w:r>
        <w:rPr>
          <w:b/>
        </w:rPr>
        <w:t>E. 2</w:t>
      </w:r>
    </w:p>
    <w:p>
      <w:r>
        <w:t>Die Anweisung gemäss Ziffer 1 hiervor sei durch das angeru- fene Gericht als vorläufige Massnahme, superprovisorisch und ohne Anhörung der Gesuchsgegnerin zu erteilen.</w:t>
      </w:r>
    </w:p>
    <w:p>
      <w:r>
        <w:rPr>
          <w:b/>
        </w:rPr>
        <w:t>E. 2.1</w:t>
      </w:r>
    </w:p>
    <w:p>
      <w:r>
        <w:t>Die Eintragung eines Bauhandwerkerpfandrechts setzt im Wesentlichen die Forderung eines Bauhandwerkers oder Unternehmers für die Leistung von Arbeit und allenfalls von Material zugunsten des zu belastenden Grundstücks sowie die Wahrung der viermonatigen Eintragungsfrist voraus (Art. 837 Abs. 1 Ziff. 3 und 839 Abs. 2 ZGB).</w:t>
      </w:r>
    </w:p>
    <w:p>
      <w:r>
        <w:rPr>
          <w:b/>
        </w:rPr>
        <w:t>E. 2.2</w:t>
      </w:r>
    </w:p>
    <w:p>
      <w:r>
        <w:t>Die Eintragungsvoraussetzungen sind im Verfahren betreffend vorläufige Eintragung eines Bauhandwerkerpfandrechts lediglich glaubhaft zu ma- chen. An diese Glaubhaftmachung werden zudem weniger strenge Anfor- derungen gestellt, als es diesem Beweismass für vorsorgliche Massnah- men (Art. 261 ff. ZPO) sonst entspricht.1 Die vorläufige Eintragung darf nur verweigert werden, wenn der Bestand des Pfandrechts ausgeschlossen o- der höchst unwahrscheinlich erscheint. Im Zweifelsfall, bei unklarer Be- weis- oder Rechtslage, ist die vorläufige Eintragung zu bewilligen und die Entscheidung dem Richter im ordentlichen Verfahren zu überlassen.2 Letzt- lich läuft es darauf hinaus, dass der gesuchstellende Unternehmer nur die blosse Möglichkeit eines Anspruchs auf ein Bauhandwerkerpfandrecht nachzuweisen hat.3 3. Pfandsumme</w:t>
      </w:r>
    </w:p>
    <w:p>
      <w:r>
        <w:rPr>
          <w:b/>
        </w:rPr>
        <w:t>E. 3</w:t>
      </w:r>
    </w:p>
    <w:p>
      <w:r>
        <w:t>Die in Ziff. 1 hiervor beantragte superprovisorische Verfügung sei dem Grundbuchamt X. sowohl schriftlich als auch telefo- nisch/per Telefax oder elektronisch sofort anzumelden.</w:t>
      </w:r>
    </w:p>
    <w:p>
      <w:r>
        <w:rPr>
          <w:b/>
        </w:rPr>
        <w:t>E. 3.1</w:t>
      </w:r>
    </w:p>
    <w:p>
      <w:r>
        <w:t>Die Gesuchstellerin hat bis zum 23. August 2023 beim zuständigen Ge- richt im ordentlichen Verfahren Klage auf definitive Eintragung des Bau- handwerkerpfandrechts anzuheben.</w:t>
      </w:r>
    </w:p>
    <w:p>
      <w:r>
        <w:rPr>
          <w:b/>
        </w:rPr>
        <w:t>E. 3.2</w:t>
      </w:r>
    </w:p>
    <w:p>
      <w:r>
        <w:t>Im Säumnisfall fällt die in der vorstehenden Dispositiv-Ziff. 1 angeordnete vorsorgliche Massnahme dahin, wobei die Vormerkung im Grundbuch nur auf entsprechendes Gesuch hin gelöscht wird.</w:t>
      </w:r>
    </w:p>
    <w:p>
      <w:r>
        <w:rPr>
          <w:b/>
        </w:rPr>
        <w:t>E. 3.3</w:t>
      </w:r>
    </w:p>
    <w:p>
      <w:r>
        <w:t>Es gilt kein Stillstand der Fristen. 4.</w:t>
      </w:r>
    </w:p>
    <w:p>
      <w:r>
        <w:rPr>
          <w:b/>
        </w:rPr>
        <w:t>E. 4</w:t>
      </w:r>
    </w:p>
    <w:p>
      <w:r>
        <w:t>Der Gesuchstellerin sei eine angemessene Frist von mindes- tens drei Monaten ab rechtskräftigem Abschluss dieses vorläu- figen Eintragungsverfahrens anzusetzen, um Klage auf defini- tive Eintragung des Bauhandwerkerpfandrechts gemäss Zif- fer 1 hiervor zu Lasten des Grundstücks der Gesuchsgegnerin einzuleiten.</w:t>
      </w:r>
    </w:p>
    <w:p>
      <w:r>
        <w:rPr>
          <w:b/>
        </w:rPr>
        <w:t>E. 4.1</w:t>
      </w:r>
    </w:p>
    <w:p>
      <w:r>
        <w:t>Die Gerichtskosten in Höhe von Fr. 2'500.00 sind der Gesuchsgegnerin zu tragen und werden mit dem von der Gesuchstellerin geleisteten Gerichts- kostenvorschuss in Höhe von Fr. 2'500.00 verrechnet. Die Gesuchsgegne- rin hat die von ihr zu tragenden Gerichtskosten der Gesuchstellerin direkt zu ersetzen.</w:t>
      </w:r>
    </w:p>
    <w:p>
      <w:r>
        <w:t>- 17 -</w:t>
      </w:r>
    </w:p>
    <w:p>
      <w:r>
        <w:rPr>
          <w:b/>
        </w:rPr>
        <w:t>E. 4.2</w:t>
      </w:r>
    </w:p>
    <w:p>
      <w:r>
        <w:t>Die Gesuchsgegnerin hat der Gesuchstellerin deren Parteikosten in rich- terlich festgesetzter Höhe von Fr. 2'300.90 (inkl. Auslagen) zu ersetzen.</w:t>
      </w:r>
    </w:p>
    <w:p>
      <w:r>
        <w:rPr>
          <w:b/>
        </w:rPr>
        <w:t>E. 4.3</w:t>
      </w:r>
    </w:p>
    <w:p>
      <w:r>
        <w:t>Eine abweichende Verlegung der Prozesskosten mittels separater Verfü- gung oder im ordentlichen Verfahren bleibt vorbehalten, falls dieses vor dem Handelsgericht stattfindet. Zustellung an:  die Gesuchstellerin (Vertreter; zweifach mit Doppel der Eingabe der Gesuchsgegnerin vom 20. Februar 2023)  die Gesuchsgegnerin (Vertreter; zweifach)  die gesuchsgegnerische Nebenintervenientin (Vertreter; zweifach mit Doppel der Eingabe der Gesuchsgegnerin vom 20. Februar 2023) Zustellung an:  das Grundbuchamt X (nach Ablauf der Rechtsmittelfrist) Rechtsmittelbelehrung für die Beschwerde in Zivilsachen (Art. 72 ff., Art 90 ff. BGG) Gegen diesen Entscheid kann innert 30 Tagen, von der schriftlichen Eröff- nung der vollständigen Ausfertigung des Entscheids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verfassungsmässige Rechte (Art. 98 ff. BGG) verletzt. Die Urkunden, auf die sich die Partei als Beweismittel beruft, sind beizulegen, soweit die Partei sie in den Händen hat; ebenso ist der angefochtene Entscheid beizulegen (Art. 42 BGG).</w:t>
      </w:r>
    </w:p>
    <w:p>
      <w:r>
        <w:t>- 18 - Aarau, 23. Februar 2023 Handelsgericht des Kantons Aargau 1. Kammer Der Präsident: Die Gerichtsschreiberin: Dubs Näf</w:t>
      </w:r>
    </w:p>
    <w:p>
      <w:r>
        <w:rPr>
          <w:b/>
        </w:rPr>
        <w:t>E. 5</w:t>
      </w:r>
    </w:p>
    <w:p>
      <w:r>
        <w:t>Das Grundbuchamt X. merkte die vorläufige Eintragung am 9. Dezember 2022 (Tagebuchnummer 13812) im Tagebuch vor.</w:t>
      </w:r>
    </w:p>
    <w:p>
      <w:r>
        <w:rPr>
          <w:b/>
        </w:rPr>
        <w:t>E. 5.1</w:t>
      </w:r>
    </w:p>
    <w:p>
      <w:r>
        <w:t>Rechtliches Gemäss Art. 839 Abs. 3 ZGB kann die Eintragung eines Bauhandwerker- pfandrechts nicht verlangt werden, wenn der Grundeigentümer für die an- gemeldete Forderung hinreichende Sicherheit leistet. Das Fehlen einer hin- reichenden Sicherheit ist demnach eine negative Voraussetzung für die Eintragung bzw. den Weiterbestand des Bauhandwerkerkerpfandrechts.16 Da Art. 839 Abs. 3 ZGB die Art der zu leistenden Sicherheit nicht vor- schreibt, kann sie innerhalb der Schranken der Rechtsordnung grundsätz- lich frei gewählt werden.17 Entscheidend ist, dass die Sicherheitsleistung als "hinreichend" i.S.v. Art. 839 Abs. 3 ZGB qualifiziert wird.18 Dies setzt voraus, dass die Sicherheitsleistung qualitativ und quantitativ die gleiche Sicherheit bietet wie das Bauhandwerkerpfandrecht.19 Ob die Sicherheits- leistung als "hinreichend" qualifiziert wird, obliegt vorab der Disposition der involvierten Parteien.20 Akzeptiert der Unternehmer die von der sicherleis-</w:t>
      </w:r>
    </w:p>
    <w:p>
      <w:r>
        <w:rPr>
          <w:b/>
        </w:rPr>
        <w:t>E. 5.2</w:t>
      </w:r>
    </w:p>
    <w:p>
      <w:r>
        <w:t>Würdigung Am 1. Dezember 2022 unterzeichnete die gesuchsgegnerische Nebenin- tervenientin eine Bürgschaftserklärung. Darin erklärte sie, "die geschuldete Forderung über CHF 254'954.90 vom Schuldner" zu anerkennen und "für die volle, geschuldete Summe ab dem im Punkt 2.1. vereinbarten Fällig- keitsdatum" (31. Mai 2023) unbefristet zu haften. Die Gesuchstellerin bestreitet, dass für ihre Forderung damit hinreichend Sicherheit geleistet worden sei (Gesuch Rz. 60). Auch die Gesuchsgegner- schaft macht dies nicht geltend. Nachdem allein die gesuchsgegnerische Nebenintervenientin erklärt hat, für den Betrag von Fr. 254'954.90 (als ein- fache Bürgin) zu haften (GB 19), liegt gerade keine von einer Schweizer Bank oder Versicherungsgesellschaft ausgestellte Bürgschaft vor. Daher bietet sie vorliegend – unabhängig davon, ob die einfache Bürgschaft über- haupt als hinreichende Sicherheitsleistung i.S.v. Art. 839 Abs. 3 ZGB be- trachtet werden kann – in qualitativer Hinsicht nicht die gleiche Sicherheit wie das Bauhandwerkerpfandrecht. Auch unter quantitativen Gesichts- punkten ist die Gleichwertigkeit zu verneinen: Während das Bauhandwer- kerpfandrecht auch allfällige Verzugszinsen zeitlich unbeschränkt abdeckt, umfasst die Erklärung der gesuchsgegnerischen Nebenintervenientin diese gerade nicht. Mit der "Schuldanerkennung, Zahlungsvereinbarung, Einfa-</w:t>
      </w:r>
    </w:p>
    <w:p>
      <w:r>
        <w:rPr>
          <w:b/>
        </w:rPr>
        <w:t>E. 6</w:t>
      </w:r>
    </w:p>
    <w:p>
      <w:r>
        <w:t>Mit Verfügung vom 4. Januar 2023 wurde das Verfahren auf gemeinsamen Antrag der Parteien bis zum 31. Januar 2023 sistiert.</w:t>
      </w:r>
    </w:p>
    <w:p>
      <w:r>
        <w:rPr>
          <w:b/>
        </w:rPr>
        <w:t>E. 7</w:t>
      </w:r>
    </w:p>
    <w:p>
      <w:r>
        <w:t>Mit Eingabe vom 25. Januar 2023 liess die C. die folgenden Anträge stel- len: "1. Es sei die C., CHE-[…], mit Sitz in U., als Nebenintervenientin auf der Seite der Gesuchsgegnerschaft zuzulassen.</w:t>
      </w:r>
    </w:p>
    <w:p>
      <w:r>
        <w:t>- 4 - 2. Es sei das Gesuch der Gesuchstellerin um vorläufige Eintra- gung eines Bauhandwerkerpfandrechts vollumfänglich abzu- weisen. 3. Es sei das Grundbuchamt X. gerichtlich anzuweisen, das auf dem Grundstück der Gesuchsgegnerschaft einstweilen zu- gunsten der Gesuchstellerin vorläufig eingetragene Bauhand- werkerpfandrecht umgehend und vollumfänglich zu löschen. 4. Alles unter Kosten- und Entschädigungsfolgen (zzgl. MWST) zu Lasten der Gesuchstellerin." Zur Begründung wurde ausgeführt, die C. habe der Gesuchsgegnerin di- verse Grundstücke verkauft, auf welchen nun Bauhandwerkerpfandrechte vorläufig eingetragen worden seien. Als Verkäuferin stehe sie gegenüber der Gesuchsgegnerin in der Pflicht, solche Pfandrechte abzulösen. Weiter erklärte sie, in vorliegendem Verfahren auf eine detaillierte materielle Stel- lungnahme zu verzichten. Allfällige formelle und materielle Einreden und Einwendungen behalte sie sich für den ordentlichen Prosequierungspro- zess ausdrücklich vor. Das Vorliegen der Eintragungsvoraussetzungen werde der Vollständigkeit halber bestritten. Mit Eingabe vom 27. Januar 2023 stellte die Gesuchsgegnerin die folgen- den Rechtsbegehren: "1. Es sei die C., CHE-[…], mit Sitz in U. als Nebenintervenientin auf der Seite der Gesuchsgegnerin zuzulassen. 2. Es sei das Gesuch der Gesuchstellerin um vorläufige Eintra- gung eines Bauhandwerkerpfandrechts vollumfänglich abzu- weisen. 3. Es sei das Grundbuchamt X. gerichtlich anzuweisen, das auf dem Grundstück der Gesuchsgegnerschaft einstweilen zu- gunsten der Gesuchstellerin vorläufig eingetragene Bauhand- werkerpfandrecht umgehend und vollumfänglich zu löschen. 4. Alles unter Kosten- und Entschädigungsfolgen (zzgl. MWST) zu Lasten der Gesuchstellerin." Zur Begründung wurde ausgeführt, die Sistierung könne aufgehoben wer- den. Die Gesuchsgegnerin habe Kenntnis vom Antrag der C. und stimme diesem zu. Das Interesse der C. sei evident. Gleichzeitig äusserte sich die Gesuchsgegnerin zum Gesuch vom 8. De- zember 2022. Sie erklärte, auf eine detaillierte materielle Stellungnahme zu verzichten. Allfällige formelle und materielle Einreden und Einwendungen</w:t>
      </w:r>
    </w:p>
    <w:p>
      <w:r>
        <w:t>- 5 - behalte sie sich für den ordentlichen Prosequierungsprozess vor. Der Voll- ständigkeit halber werde das Vorliegen der Eintragungsvoraussetzungen bestritten.</w:t>
      </w:r>
    </w:p>
    <w:p>
      <w:r>
        <w:rPr>
          <w:b/>
        </w:rPr>
        <w:t>E. 7.1</w:t>
      </w:r>
    </w:p>
    <w:p>
      <w:r>
        <w:t>Rechtliches Ist eine Klage auf definitive Eintragung des Bauhandwerkerpfandrechts noch nicht rechtshängig, ist der gesuchstellenden Partei nach Art. 263 ZPO eine Frist zur Einreichung der Klage mit der Androhung anzusetzen, dass die Vormerkung der vorläufigen Eintragung im Grundbuch bei ungenutztem Ablauf der Frist ohne weiteres und ersatzlos gelöscht werde.27 Die Bemes- sung der Prosequierungsfrist liegt im Ermessen des Gerichts, wobei die Interessen der Parteien, insbesondere das Beschleunigungsinteresse des Grundeigentümers mit dem Interesse des Unternehmers an ausreichender Vorbereitungszeit für das Vorbereitung und Verfassen der Klageschrift, ge- geneinander abzuwägen sind.28 Bei Fällen der vorliegenden Grösse beträgt die Prosequierungsfrist nach handelsgerichtlicher Praxis rund drei Monate. Der Fristenstillstand gemäss Art. 145 Abs. 1 ZPO ist bei der Prosequie- rungsfrist nach Art. 263 ZPO i.V.m. Art. 961 Abs. 3 ZGB ausgeschlossen.29</w:t>
      </w:r>
    </w:p>
    <w:p>
      <w:r>
        <w:rPr>
          <w:b/>
        </w:rPr>
        <w:t>E. 7.2</w:t>
      </w:r>
    </w:p>
    <w:p>
      <w:r>
        <w:t>Würdigung Die Gesuchstellerin beantragt, es sei ihr eine Prosequierungsfrist von sechs Monaten zu gewähren. Der Fall weise eine gewisse Komplexität auf und die Forderungsschuldnerin habe mehrfach den Willen geäussert, die offenen Forderungen im Laufe des ersten Halbjahres 2023 bzw. bis zum</w:t>
      </w:r>
    </w:p>
    <w:p>
      <w:r>
        <w:rPr>
          <w:b/>
        </w:rPr>
        <w:t>E. 9</w:t>
      </w:r>
    </w:p>
    <w:p>
      <w:r>
        <w:t>Mit Verfügung vom 1. Februar 2023 hielt der Präsident fest, dass mit Er- stattung der Stellungnahme / Gesuchsantwort der Gesuchsgegnerin vom 27. Januar 2023 der Schriftenwechsel im summarischen Verfahren abge- schlossen sei. Weiter stellte er der Gesuchstellerin die Eingaben der Ge- suchsgegnerschaft zu und setzte ihr Frist, um zum Interventionsgesuch der C. Stellung zu nehmen.</w:t>
      </w:r>
    </w:p>
    <w:p>
      <w:r>
        <w:rPr>
          <w:b/>
        </w:rPr>
        <w:t>E. 10</w:t>
      </w:r>
    </w:p>
    <w:p>
      <w:r>
        <w:t>Mit Eingabe vom 13. Februar 2023 (Postaufgabe: gleichentags) verzichtete die Gesuchstellerin auf eine Stellungnahme zum Interventionsgesuch. Wei- ter änderte sie ihren prozessualen Antrag gemäss Rechtsbegehren Ziff. 4 wie folgt: "Der Gesuchstellerin sei eine angemessene Frist von mindes- tens sechs Monaten ab rechtskräftigem Abschluss dieses vor- läufigen Eintragungsverfahrens anzusetzen, um Klage auf de- finitive Eintragung des Bauhandwerkerpfandrechts gemäss Zif- fer 1 hiervor zu Lasten des Grundstücks der Gesuchsgegnerin einzuleiten." Zur Begründung führte sie aus, der vorliegende Fall weise nur schon ange- sichts der Vielzahl von Pfandschuldnern eine gewisse Komplexität auf. Da- neben sei aktenkundig, dass die Forderungsschuldnerin gegenüber der Gesuchstellerin mehrfach ihren Willen geäussert habe, die offene Forde- rung im Laufe des ersten Halbjahres 2023 bzw. bis zum 31. Mai 2023 zu begleichen. Eine aussergerichtliche Einigung in den kommenden Monaten scheine daher nicht aussichtslos zu sein.</w:t>
      </w:r>
    </w:p>
    <w:p>
      <w:r>
        <w:rPr>
          <w:b/>
        </w:rPr>
        <w:t>E. 11</w:t>
      </w:r>
    </w:p>
    <w:p>
      <w:r>
        <w:t>Mit Verfügung vom 15. Februar 2023 wurde die C. (fortan: gesuchsgegne- rische Nebenintervenientin) als Nebenpartei der Gesuchsgegnerin zuge- lassen.</w:t>
      </w:r>
    </w:p>
    <w:p>
      <w:r>
        <w:rPr>
          <w:b/>
        </w:rPr>
        <w:t>E. 12</w:t>
      </w:r>
    </w:p>
    <w:p>
      <w:r>
        <w:t>AGVE 2003, S. 38; VETTER/BUFF, Verzugszinsen bei «zahlbar innert 30 Tagen», SJZ 2019, S. 151 f. m.w.N.; BSK OR I-WIDMER LÜCHINGER/WIEGAND, 7. Aufl. 2019, Art. 102 N. 9b; KOLLER, Schweizerisches Obligationenrecht: Allgemeiner Teil, 4. Aufl. 2017, N. 55.32.</w:t>
      </w:r>
    </w:p>
    <w:p>
      <w:r>
        <w:rPr>
          <w:b/>
        </w:rPr>
        <w:t>E. 13</w:t>
      </w:r>
    </w:p>
    <w:p>
      <w:r>
        <w:t>BGE 126 III 462 E. 4c.aa; BSK ZGB II-THURNHERR (Fn. 1), Art. 839/840 N. 29.</w:t>
      </w:r>
    </w:p>
    <w:p>
      <w:r>
        <w:rPr>
          <w:b/>
        </w:rPr>
        <w:t>E. 14</w:t>
      </w:r>
    </w:p>
    <w:p>
      <w:r>
        <w:t>BSK ZGB II-THURNHERR (Fn. 1), Art. 839/840 N. 31a.</w:t>
      </w:r>
    </w:p>
    <w:p>
      <w:r>
        <w:t>- 10 - die Bauwerke oder die Arbeiten bzw. Leistungen hierzu eine funktionelle Einheit bilden und die Bauarbeiten in einem Zug ausgeführt worden sind.15</w:t>
      </w:r>
    </w:p>
    <w:p>
      <w:r>
        <w:rPr>
          <w:b/>
        </w:rPr>
        <w:t>E. 15</w:t>
      </w:r>
    </w:p>
    <w:p>
      <w:r>
        <w:t>SCHUMACHER/REY (Fn. 1), N. 1182 ff.; BSK ZGB II-THURNHERR (Fn. 1), Art. 839/840 N. 30.; BRITSCHGI, Das belastete Grundstück beim Bauhandwerkerpfandrecht, 2008, S. 55 f.</w:t>
      </w:r>
    </w:p>
    <w:p>
      <w:r>
        <w:rPr>
          <w:b/>
        </w:rPr>
        <w:t>E. 16</w:t>
      </w:r>
    </w:p>
    <w:p>
      <w:r>
        <w:t>SCHUMACHER/REY (Fn. 1), N. 1215.</w:t>
      </w:r>
    </w:p>
    <w:p>
      <w:r>
        <w:rPr>
          <w:b/>
        </w:rPr>
        <w:t>E. 17</w:t>
      </w:r>
    </w:p>
    <w:p>
      <w:r>
        <w:t>VETTER/BRUNNER, Die hinreichende Sicherheit gemäss Art. 839 Abs. 3 ZGB, in: Jusletter 27. Feb- ruar 2017, Rz. 6; SCHUMACHER/REY (Fn. 1), N. 1251.</w:t>
      </w:r>
    </w:p>
    <w:p>
      <w:r>
        <w:rPr>
          <w:b/>
        </w:rPr>
        <w:t>E. 18</w:t>
      </w:r>
    </w:p>
    <w:p>
      <w:r>
        <w:t>VETTER/BRUNNER (Fn. 17), Rz. 6.</w:t>
      </w:r>
    </w:p>
    <w:p>
      <w:r>
        <w:rPr>
          <w:b/>
        </w:rPr>
        <w:t>E. 19</w:t>
      </w:r>
    </w:p>
    <w:p>
      <w:r>
        <w:t>BGE 142 III 738 E. 4.4.2.; VETTER/BRUNNER (Fn. 17), Rz. 8; SCHUMACHER/REY (Fn. 1), N. 1226 und 1252 f. m.w.N.</w:t>
      </w:r>
    </w:p>
    <w:p>
      <w:r>
        <w:rPr>
          <w:b/>
        </w:rPr>
        <w:t>E. 20</w:t>
      </w:r>
    </w:p>
    <w:p>
      <w:r>
        <w:t>Vgl. SCHUMACHER/REY (Fn. 1), N. 1300; VETTER/BRUNNER (Fn. 17), Rz. 30; Siehe auch Merkblatt des Handelsgerichts des Kantons Aargau, abrufbar unter &lt;https://www.ag.ch/media/kanton-aar- gau/jb/dokumente/obergericht/handelsgericht/merkblatt-handelsgericht.pdf&gt;, zuletzt besucht am</w:t>
      </w:r>
    </w:p>
    <w:p>
      <w:r>
        <w:rPr>
          <w:b/>
        </w:rPr>
        <w:t>E. 21</w:t>
      </w:r>
    </w:p>
    <w:p>
      <w:r>
        <w:t>VETTER/BRUNNER (Fn. 17), Rz. 30; SCHUMACHER (Fn. 16), N. 1314.</w:t>
      </w:r>
    </w:p>
    <w:p>
      <w:r>
        <w:rPr>
          <w:b/>
        </w:rPr>
        <w:t>E. 22</w:t>
      </w:r>
    </w:p>
    <w:p>
      <w:r>
        <w:t>VETTER/BRUNNER (Fn. 17), Rz. 31.</w:t>
      </w:r>
    </w:p>
    <w:p>
      <w:r>
        <w:rPr>
          <w:b/>
        </w:rPr>
        <w:t>E. 23</w:t>
      </w:r>
    </w:p>
    <w:p>
      <w:r>
        <w:t>Siehe zur (Solidar-)Bürgschaft statt vieler SCHUMACHER/REY (Fn. 1), N. 1268 ff. m.w.N.</w:t>
      </w:r>
    </w:p>
    <w:p>
      <w:r>
        <w:rPr>
          <w:b/>
        </w:rPr>
        <w:t>E. 24</w:t>
      </w:r>
    </w:p>
    <w:p>
      <w:r>
        <w:t>BSK ZGB II-THURNHERR (Fn. 1), Art. 839/840 N. 11; SCHUMACHER/REY (Fn. 1), Rz. 1252 f. m.w.N.</w:t>
      </w:r>
    </w:p>
    <w:p>
      <w:r>
        <w:rPr>
          <w:b/>
        </w:rPr>
        <w:t>E. 25</w:t>
      </w:r>
    </w:p>
    <w:p>
      <w:r>
        <w:t>VETTER/BRUNNER (Fn. 17), Rz. 17 m.w.N.</w:t>
      </w:r>
    </w:p>
    <w:p>
      <w:r>
        <w:rPr>
          <w:b/>
        </w:rPr>
        <w:t>E. 26</w:t>
      </w:r>
    </w:p>
    <w:p>
      <w:r>
        <w:t>VETTER/BRUNNER (Fn. 17), Rz. 11; SCHUMACHER/REY (Fn. 1), N. 1268.</w:t>
      </w:r>
    </w:p>
    <w:p>
      <w:r>
        <w:t>- 12 - cher Bürgschaftsvertrag" vom 1. Dezember 2022 der gesuchsgegneri- schen Nebenintervenientin wurde daher keine hinreichende Sicherheit i.S.v. Art. 839 Abs. 3 ZGB geleistet. 6. Ergebnis Zusammenfassend ergibt sich, dass die Voraussetzungen für die vorläufige Eintragung eines Bauhandwerkerpfandrechts für die folgenden Pfandsum- men erfüllt sind: - Fr. 39'080.30 zzgl. Zins zu 5 % seit 29. November 2022 auf dem Grund- stück GB T. Nr. B; - Fr. 2'094.80 zzgl. Zins zu 5 % seit 29. November 2022 auf dem Grund- stück GB T. Nr. CE; - Fr. 2'094.80 zzgl. Zins zu 5 % seit 29. November 2022 auf dem Grund- stück GB T. Nr. CF; - Fr. 2'094.80 zzgl. Zins zu 5 % seit 29. November 2022 auf dem Grund- stück GB T. Nr. CH; - Fr. 2'094.80 zzgl. Zins zu 5 % seit 29. November 2022 auf dem Grund- stück GB T. Nr. CI; - Fr. 2'094.80 zzgl. Zins zu 5 % seit 29. November 2022 auf dem Grund- stück GB T. Nr. CO; - Fr. 2'094.80 zzgl. Zins zu 5 % seit 29. November 2022 auf dem Grund- stück GB T. Nr. CP; - Fr. 2'094.80 zzgl. Zins zu 5 % seit 29. November 2022 auf dem Grund- stück GB T. Nr. CAA; - Fr. 2'094.80 zzgl. Zins zu 5 % seit 29. November 2022 auf dem Grund- stück GB T. Nr. CAB; - Fr. 2'094.80 zzgl. Zins zu 5 % seit 29. November 2022 auf dem Grund- stück GB T. Nr. CAC; - Fr. 2'094.80 zzgl. Zins zu 5 % seit 29. November 2022 auf dem Grund- stück GB T. Nr. CAD; - Fr. 2'094.80 zzgl. Zins zu 5 % seit 29. November 2022 auf dem Grund- stück GB T. Nr. CAE; - Fr. 2'094.80 zzgl. Zins zu 5 % seit 29. November 2022 auf dem Grund- stück GB T. Nr. CAF; - Fr. 2'094.80 zzgl. Zins zu 5 % seit 29. November 2022 auf dem Grund- stück GB T. Nr. CAG; - Fr. 2'094.80 zzgl. Zins zu 5 % seit 29. November 2022 auf dem Grund- stück GB T. Nr. CAH; - Fr. 2'094.80 zzgl. Zins zu 5 % seit 29. November 2022 auf dem Grund- stück GB T. Nr. CAI; - Fr. 2'094.80 zzgl. Zins zu 5 % seit 29. November 2022 auf dem Grund- stück GB T. Nr. CAJ; - Fr. 2'094.80 zzgl. Zins zu 5 % seit 29. November 2022 auf dem Grund- stück GB T. Nr. CAK;</w:t>
      </w:r>
    </w:p>
    <w:p>
      <w:r>
        <w:t>- 13 - - Fr. 2'094.80 zzgl. Zins zu 5 % seit 29. November 2022 auf dem Grund- stück GB T. Nr. CAL; - Fr. 2'094.80 zzgl. Zins zu 5 % seit 29. November 2022 auf dem Grund- stück GB T. Nr. CAM. Die mit Verfügung vom 9. Dezember 2022 superprovisorisch angeordneten Vormerkungen der vorläufigen Eintragung von Bauhandwerkerpfandrech- ten sind in diesem Umfang zu bestätigen. 7. Prosequierung</w:t>
      </w:r>
    </w:p>
    <w:p>
      <w:r>
        <w:rPr>
          <w:b/>
        </w:rPr>
        <w:t>E. 31</w:t>
      </w:r>
    </w:p>
    <w:p>
      <w:r>
        <w:t>Vgl. Merkblatt zur Frage der Berücksichtigung der Mehrwertsteuer bei der Bemessung der Partei- entschädigung der Gerichte des Kantons Aargau vom 11. Januar 2016: &lt;https://www.ag.ch/me- dia/kanton-aargau/jb/dokumente/obergericht/handelsgericht/merkblatt-mwst.pdf&gt; (zuletzt besucht am 22. Februar 2023).</w:t>
      </w:r>
    </w:p>
    <w:p>
      <w:r>
        <w:t>- 16 - - Fr. 2'094.80 zzgl. Zins zu 5 % seit 29. November 2022 auf dem Grund- stück GB T. Nr. CAE; - Fr. 2'094.80 zzgl. Zins zu 5 % seit 29. November 2022 auf dem Grund- stück GB T. Nr. CAF; - Fr. 2'094.80 zzgl. Zins zu 5 % seit 29. November 2022 auf dem Grund- stück GB T. Nr. CAG; - Fr. 2'094.80 zzgl. Zins zu 5 % seit 29. November 2022 auf dem Grund- stück GB T. Nr. CAH; - Fr. 2'094.80 zzgl. Zins zu 5 % seit 29. November 2022 auf dem Grund- stück GB T. Nr. CAI; - Fr. 2'094.80 zzgl. Zins zu 5 % seit 29. November 2022 auf dem Grund- stück GB T. Nr. CAJ; - Fr. 2'094.80 zzgl. Zins zu 5 % seit 29. November 2022 auf dem Grund- stück GB T. Nr. CAK; - Fr. 2'094.80 zzgl. Zins zu 5 % seit 29. November 2022 auf dem Grund- stück GB T. Nr. CAL; - Fr. 2'094.80 zzgl. Zins zu 5 % seit 29. November 2022 auf dem Grund- stück GB T. Nr. CAM. 2. Das Grundbuchamt X. wird angewiesen, die Vormerkung gemäss Dispo- sitiv-Ziff. 1 aufrechtzuerhalten.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