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HSU.2020.16b vom 3. März 2020</w:t>
      </w:r>
    </w:p>
    <w:p>
      <w:r>
        <w:t>Ag Handelsgericht, 2020-03-03, DE</w:t>
      </w:r>
    </w:p>
    <w:p>
      <w:r>
        <w:rPr>
          <w:b/>
        </w:rPr>
        <w:t xml:space="preserve">Quelle: </w:t>
      </w:r>
      <w:r>
        <w:t>https://mcp.opencaselaw.ch/entscheid/ag_handelsgericht_HSU.2020.16b</w:t>
      </w:r>
    </w:p>
    <w:p>
      <w:r>
        <w:t>FR: AG_HANDELSGERICHT HSU.2020.16b du 3 mars 2020</w:t>
      </w:r>
    </w:p>
    <w:p>
      <w:r>
        <w:t>IT: AG_HANDELSGERICHT HSU.2020.16b del 3 marzo 2020</w:t>
      </w:r>
    </w:p>
    <w:p>
      <w:pPr>
        <w:pStyle w:val="Heading2"/>
      </w:pPr>
      <w:r>
        <w:t>Erwägungen</w:t>
      </w:r>
    </w:p>
    <w:p>
      <w:r>
        <w:rPr>
          <w:b/>
        </w:rPr>
        <w:t>E. 2</w:t>
      </w:r>
    </w:p>
    <w:p>
      <w:r>
        <w:t>Die Gesuchsgegnerinnen sind juristische Personen und haben alle ihren Sitz im Kanton Luzern (GB 2.1-9). Sie sind jeweils Alleineigentümerinnen von Stockwerkeinheiten an der P.-Strasse in B. (Stammgrundstück Nr. 123 GB B. [E-GRID 987]; GB C-D.10)</w:t>
      </w:r>
    </w:p>
    <w:p>
      <w:r>
        <w:rPr>
          <w:b/>
        </w:rPr>
        <w:t>E. 3</w:t>
      </w:r>
    </w:p>
    <w:p>
      <w:r>
        <w:t>BGE 138 III 471 E. 5.1.</w:t>
      </w:r>
    </w:p>
    <w:p>
      <w:r>
        <w:rPr>
          <w:b/>
        </w:rPr>
        <w:t>E. 3.1</w:t>
      </w:r>
    </w:p>
    <w:p>
      <w:r>
        <w:t>Das Handelsgericht ist für die Anordnung vorsorglicher Massnahmen auch dann zuständig, wenn die Hauptsache noch nicht rechtshängig ist (Art. 6 Abs. 5 ZPO). Diese Zuständigkeit des Handelsgerichts gilt allerdings nur, wenn die Zuständigkeit des Handelsgerichts für die Hauptsache gegeben ist. Es ist daher zu prüfen, ob das Handelsgericht auch für die Hauptsache zuständig sein könnte. Im Gegensatz zu den (nicht zwingenden) örtlichen Gerichtsständen ist eine Einlassung vor einem sachlich unzuständigen Gericht nicht möglich.1. 1 BGE 140 III 355 E. 2.4, 138 III 471 E. 3.1; VETTER, in: Sutter-Somm/Hasenböhler/Leuenberger ([Hrsg.), Kommentar zur Schweizerischen Zivilprozessordnung, 3. Aufl. 2016, Art. 6 N. 38 f. je m.w.N.</w:t>
      </w:r>
    </w:p>
    <w:p>
      <w:r>
        <w:t>- 4 -</w:t>
      </w:r>
    </w:p>
    <w:p>
      <w:r>
        <w:rPr>
          <w:b/>
        </w:rPr>
        <w:t>E. 3.2</w:t>
      </w:r>
    </w:p>
    <w:p>
      <w:r>
        <w:t>Für vermögensrechtliche Streitigkeiten mit einem Streitwert von bis und mit Fr. 30'000.00 gilt gestützt auf Art. 243 Abs. 1 ZPO das vereinfachte Verfah- ren. Dieses ist vor dem Handelsgericht gemäss Art. 243 Abs. 3 ZPO aus- geschlossen. Das vereinfachte Verfahren geht jeweils der sachlichen Zu- ständigkeit des Handelsgerichts vor.2</w:t>
      </w:r>
    </w:p>
    <w:p>
      <w:r>
        <w:rPr>
          <w:b/>
        </w:rPr>
        <w:t>E. 3.3</w:t>
      </w:r>
    </w:p>
    <w:p>
      <w:r>
        <w:t>Die einfache Streitgenossenschaft besteht aus einer subjektiven Klagen- häufung. Sie ist nur unter den in Art. 71 ZPO genannten Voraussetzungen zulässig, insbesondere wenn die einzelnen Klagen auf gleichartigen Tatsa- chen oder Rechtsgründen beruhen, die gleiche Verfahrensart anwendbar ist und die gleiche sachliche Zuständigkeit gilt.3 Bei der einfachen Streitge- nossenschaft bleibt gemäss Art. 93 Abs. 2 ZPO die Verfahrensart trotz Zu- sammenrechnung des Streitwerte nach Art. 93 Abs. 1 ZPO erhalten. Die sachliche Zuständigkeit des Handelsgerichts ist für Klagen gegen Streitgenossen ausgeschlossen, wenn der Streitwert des betreffenden An- spruchs Fr. 30'000.00 nicht übersteigt.4</w:t>
      </w:r>
    </w:p>
    <w:p>
      <w:r>
        <w:rPr>
          <w:b/>
        </w:rPr>
        <w:t>E. 3.4</w:t>
      </w:r>
    </w:p>
    <w:p>
      <w:r>
        <w:t>Vorliegend belaufen sich die Streitwerte der insgesamt zehn Klagen auf zwischen Fr. 8'068.00 und Fr. 14'094.00 und liegen damit jeweils unter Fr. 30'000.00 (auch die beiden objektiv gehäuften Klagen gegen die G. AG betragen in der Summe lediglich Fr. 17'361.00)5. Sämtliche dieser Klagen sind einzeln betrachtet somit im vereinfachten Verfahren durchzuführen. Eine Änderung der Verfahrensart aufgrund der Zusammenrechnung der einzelnen Streitwerte verbietet sich nach Art. 93 Abs. 2 ZPO. Demnach sind die einzelnen Klagen auch im Rahmen der vorliegenden einfachen passiven Streitgenossenschaft im vereinfachten Verfahren zu beurteilen. Das Handelsgericht ist damit für das vorliegende Gesuch vom 2. März 2020 somit sachlich nicht zuständig.</w:t>
      </w:r>
    </w:p>
    <w:p>
      <w:r>
        <w:rPr>
          <w:b/>
        </w:rPr>
        <w:t>E. 3.5</w:t>
      </w:r>
    </w:p>
    <w:p>
      <w:r>
        <w:t>Aufgrund der obigen Ausführungen fehlt es an der Prozessvoraussetzung der sachlichen Zuständigkeit des Handelsgerichts in der Hauptsache und 2 BGE 143 III 137, 139 III 457. Bestätigt in BGE 142 III 788, 142 III 515 und in BGer 4A_340/2017 vom 24. Juli 2017 E. 2.4. Kritisch SCHNEUWLY, Das Verhältnis der sachlichen Zuständigkeit der Handelsgerichte zum vereinfachten Verfahren de lege lata und de lege ferenda, SJZ 2018, S. 361 ff.</w:t>
      </w:r>
    </w:p>
    <w:p>
      <w:r>
        <w:rPr>
          <w:b/>
        </w:rPr>
        <w:t>E. 4</w:t>
      </w:r>
    </w:p>
    <w:p>
      <w:r>
        <w:t>DAETWYLER/STALDER, Allgemeiner Verfahrensgang und Zuständigkeit des Handelsgerichts, in: Brunner/Nobel (Hrsg.), Handelsgericht Zürich 1866-2016, 2016, S. 191. Siehe auch WINTSCH/MEYER, Streitwertaddition bei Klagenhäufung und einfacher Streitgenossenschaft, ZZZ 2016, S. 278 ff. m.w.N.</w:t>
      </w:r>
    </w:p>
    <w:p>
      <w:r>
        <w:rPr>
          <w:b/>
        </w:rPr>
        <w:t>E. 5</w:t>
      </w:r>
    </w:p>
    <w:p>
      <w:r>
        <w:t>Vgl. dazu BGE 142 III 788 E. 4.</w:t>
      </w:r>
    </w:p>
    <w:p>
      <w:r>
        <w:t>- 5 - daher auch für vorsorgliche Massnahmen (Art. 59 Abs. 2 lit. b ZPO). Auf das Gesuch ist demzufolge nicht einzutreten (Art. 59 Abs. 1 ZPO). 4. Die Gerichtskosten betragen gestützt auf § 8 VKD Fr. 750.00 und werden der Gesuchstellerin auferlegt. Mangels Aufwand sind den Gesuchsgegne- rinnen 1-9 keine Parteientschädigungen zu entrichten. Der Vizepräsident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