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HSU.2019.87 vom 6. Juni 2019</w:t>
      </w:r>
    </w:p>
    <w:p>
      <w:r>
        <w:t>Ag Handelsgericht, 2019-06-06, DE</w:t>
      </w:r>
    </w:p>
    <w:p>
      <w:r>
        <w:rPr>
          <w:b/>
        </w:rPr>
        <w:t xml:space="preserve">Quelle: </w:t>
      </w:r>
      <w:r>
        <w:t>https://mcp.opencaselaw.ch/entscheid/ag_handelsgericht_HSU.2019.87</w:t>
      </w:r>
    </w:p>
    <w:p>
      <w:r>
        <w:t>FR: AG_HANDELSGERICHT HSU.2019.87 du 6 juin 2019</w:t>
      </w:r>
    </w:p>
    <w:p>
      <w:r>
        <w:t>IT: AG_HANDELSGERICHT HSU.2019.87 del 6 giugno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HSU.2019.87 / as / mv Art. 105 Entscheid vom 6. Juni 2019 Besetzung Oberrichter Vetter, Vizepräsident Gerichtsschreiber Schneuwly Gesuchsteller A., ________________ vertreten durch lic. iur. Rolf Müller, Rechtsanwalt, Bahnhofstrasse 44, Postfach 2622, 8022 Zürich Gesuchsgegne- S. AG, _______________ rin Gegenstand Summarisches Verfahren betreffend definitive Rechtsöffnung</w:t>
      </w:r>
    </w:p>
    <w:p>
      <w:r>
        <w:t>- 2 - Der Vizepräsident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