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HSU.2019.149 vom 20. Januar 2020</w:t>
      </w:r>
    </w:p>
    <w:p>
      <w:r>
        <w:t>Ag Handelsgericht, 2020-01-20, DE</w:t>
      </w:r>
    </w:p>
    <w:p>
      <w:r>
        <w:rPr>
          <w:b/>
        </w:rPr>
        <w:t xml:space="preserve">Quelle: </w:t>
      </w:r>
      <w:r>
        <w:t>https://mcp.opencaselaw.ch/entscheid/ag_handelsgericht_HSU.2019.149</w:t>
      </w:r>
    </w:p>
    <w:p>
      <w:r>
        <w:t>FR: AG_HANDELSGERICHT HSU.2019.149 du 20 janvier 2020</w:t>
      </w:r>
    </w:p>
    <w:p>
      <w:r>
        <w:t>IT: AG_HANDELSGERICHT HSU.2019.149 del 20 gennaio 2020</w:t>
      </w:r>
    </w:p>
    <w:p>
      <w:pPr>
        <w:pStyle w:val="Heading2"/>
      </w:pPr>
      <w:r>
        <w:t>Erwägungen</w:t>
      </w:r>
    </w:p>
    <w:p>
      <w:r>
        <w:rPr>
          <w:b/>
        </w:rPr>
        <w:t>E. 12</w:t>
      </w:r>
    </w:p>
    <w:p>
      <w:r>
        <w:t>BSK MSchG-STÄDELI, 3. Aufl. 2017, Art. 4 N. 1, 11 und 17; SHK MSchG-WANG, 2. Aufl. 2017, Art. 4 N. 6 f.; BGE 131 III 581.</w:t>
      </w:r>
    </w:p>
    <w:p>
      <w:r>
        <w:rPr>
          <w:b/>
        </w:rPr>
        <w:t>E. 13</w:t>
      </w:r>
    </w:p>
    <w:p>
      <w:r>
        <w:t>BSK MSchG- STÄDELI (Fn. 12), Art. 4 N. 21; SHK MSchG-WANG (Fn. 12), Art. 4 N. 8.</w:t>
      </w:r>
    </w:p>
    <w:p>
      <w:r>
        <w:rPr>
          <w:b/>
        </w:rPr>
        <w:t>E. 14</w:t>
      </w:r>
    </w:p>
    <w:p>
      <w:r>
        <w:t>SHK MSchG-WANG (Fn. 12), Art. 4 N. 19.</w:t>
      </w:r>
    </w:p>
    <w:p>
      <w:r>
        <w:t>- 16 - 8.2.2. Verhältnis MSchG und UWG Das Markenrecht ist gegenüber dem UWG nicht eine vorrangige Spezial- regelung. Die beiden Gesetze bestehen vielmehr nebeneinander. Das Lau- terkeitsrecht bezweckt, den lauteren und unverfälschten Wettbewerb im In- teresse aller Beteiligter zu gewährleisten. Dieser Zweck darf durch das Markenrecht nicht vereitelt werden.15 8.2.3. Ansprüche bei Vorliegen von unlauterem Wettbewerb Wer durch unlauteren Wettbewerb in seiner Kundschaft, seinem Kredit o- der beruflichen Ansehen, in seinem Geschäftsbetrieb oder sonst in seinen wirtschaftlichen Interessen bedroht oder verletzt wird, kann dem Richter ein Verbot der drohenden Verletzung, die Beseitigung einer bestehenden Ver- letzung und die Feststellung der Widerrechtlichkeit der Verletzung beantra- gen, wenn sich diese weiterhin störend auswirkt (Art. 9 Abs. 1 UWG). Diese Abwehransprüche bestehen verschuldensunabhängig und setzen weder einen Schaden auf Seiten des Anspruchsberechtigten noch einen Gewinn des Verletzers voraus. 8.2.4. Unnötige Anlehnung (Art. 3 Abs. 1 lit. e UWG) Unlauter handelt, wer sich, seine Waren, Werke, Leistungen oder deren Preise in unrichtiger, irreführender, unnötig herabsetzender oder anlehnen- der Weise mit anderen, ihren Waren, Werken, Leistungen oder deren Prei- sen vergleicht oder in entsprechender Weise Dritte im Wettbewerb begüns- tigt (Art. 3 Abs. 1 lit. e UWG). Zweck dieser Bestimmung ist es, fehlerhafte vergleichende Werbung zu vermeiden und den Missbrauch zu verhindern, ohne die vergleichende Werbung gänzlich zu verbieten. Unter den Begriff der Werbung fällt die Gesamtheit der veröffentlichten Mittel, die darauf ge- richtet sind, den Adressaten zu einem bestimmten Denken, Verhalten oder Handeln zu veranlassen, das geeignet ist, sich mittelbar oder unmittelbar auf den Absatz des Werbenden auszuwirken. Ein Vergleich liegt vor, wenn Fakten aus dem Bereich der Leistungen mehrerer Wettbewerbsteilnehmer mit würdigender Wirkung einander gegenübergestellt werden. Dieser kann explizit oder implizit erfolgen. Dem Begriff der vergleichenden Werbung wird im schweizerischen Lauterkeitsrecht somit eine sehr umfassende Be- deutung beigemessen, die über den Vergleich im engeren Sinne hinaus- geht.16 Tatbestandsmerkmal ist eine irgendwie geartete anlehnende Bezugnahme auf einen Mitbewerber oder dessen Ware oder Dienstleistungen. Bei der positiv anlehnenden Bezugnahme wird versucht, die mit dem Konkurrenz- produkt verbundenen positiven Assoziationen auf das eigene Produkt zu</w:t>
      </w:r>
    </w:p>
    <w:p>
      <w:r>
        <w:rPr>
          <w:b/>
        </w:rPr>
        <w:t>E. 14.1</w:t>
      </w:r>
    </w:p>
    <w:p>
      <w:r>
        <w:t>Gesuchstellerischer Antrag / Parteibehauptungen Die Gesuchstellerin beantragt, dass neben dem Verbot bereits Vollstre- ckungsmassnahmen angeordnet werden sollen, nämlich eine Ordnungs- busse von F. 1'000.00 pro Tag nach Art. 343 Abs. 1 lit. c ZPO, mindestens aber Fr. 5'000.00 gemäss Art. 343 Abs. 1 lit. b ZPO sowie die Strafandro- hung der Organe nach Art. 292 StGB mit Busse im Widerhandlungsfall. Die Gesuchsgegnerinnen äussern sich nicht zum Antrag auf Erlass direkter Vollstreckungsmassnahmen.</w:t>
      </w:r>
    </w:p>
    <w:p>
      <w:r>
        <w:rPr>
          <w:b/>
        </w:rPr>
        <w:t>E. 14.2</w:t>
      </w:r>
    </w:p>
    <w:p>
      <w:r>
        <w:t>Rechtliches Das Gericht, das eine vorsorgliche Massnahme anordnet, trifft gemäss Art. 267 ZPO auch die erforderlichen Vollstreckungsmassnahmen.39 Art. 343 ZPO enthält eine abschliessende Aufzählung der möglichen Voll- streckungsmassnahmen. Darunter fallen insbesondere die Strafandrohung gemäss Art. 292 StGB (Art. 343 Abs. 1 lit. a ZPO), eine Ordnungsbusse bis zu Fr. 1'000.00 für jeden Tag der Nichterfüllung (Art. 343 Abs. 1 lit. c ZPO).</w:t>
      </w:r>
    </w:p>
    <w:p>
      <w:r>
        <w:rPr>
          <w:b/>
        </w:rPr>
        <w:t>E. 14.3</w:t>
      </w:r>
    </w:p>
    <w:p>
      <w:r>
        <w:t>Würdigung Eine offensichtliche Unverhältnismässigkeit der beantragten Vollstre- ckungsmassnahmen ist mit Ausnahme der beantragten Ordnungsbusse gemäss Art. 343 Abs. 1 lit. b ZPO nicht ersichtlich. Auch die vom Gesuch- steller beantragte Kombination von Vollstreckungsmassnahmen ist zuläs- sig.43 Jedoch ist zu berücksichtigen, dass Ordnungsbussen gemäss Bun- desgericht anhand des "objektiven Ausmasses der Zuwiderhandlung" aus- zufällen sind.44 Die Androhung von Ordnungsbussen sollte daher stets den gesetzlich vorgesehen Zusatz "bis zu" enthalten oder es ist auf die Nen- nung eines konkreten Betrages gänzlich zu verzichten.45 Zur Durchsetzung des vorsorglichen Unterlassungsverbots sind den ver- antwortlichen Organen der Gesuchsgegnerin für jeden einzelnen Fall der Zuwiderhandlung deshalb die Straffolgen nach Art. 292 StGB (vgl. Art. 343 Abs. 1 lit. a ZPO) sowie der Gesuchsgegnerin eine Ordnungsbusse von bis zu Fr. 1'000.00 für jeden einzelnen Fall der Zuwiderhandlung (vgl. Art. 343 Abs. 1 lit. c ZPO) anzudrohen. 15. Sicherheitsleistung</w:t>
      </w:r>
    </w:p>
    <w:p>
      <w:r>
        <w:rPr>
          <w:b/>
        </w:rPr>
        <w:t>E. 15</w:t>
      </w:r>
    </w:p>
    <w:p>
      <w:r>
        <w:t>BGE 129 III 353 E. 3.3.</w:t>
      </w:r>
    </w:p>
    <w:p>
      <w:r>
        <w:rPr>
          <w:b/>
        </w:rPr>
        <w:t>E. 15.1</w:t>
      </w:r>
    </w:p>
    <w:p>
      <w:r>
        <w:t>Gesuchsgegnerischer Antrag Die Gesuchsgegnerinnen haben einen (Eventual-)Antrag auf Verpflichtung der Gesuchstellerin zur Sicherheitsleistung in Höhe von Fr. 500'000.00 ge- stellt (Schutzschrift der Gesuchsgegnerin 1 Rechtsbegehren 3; Schutz- schrift der Gesuchsgegnerin 2 Rechtsbegehren 3). Zur Begründung führen sie aus, dass eine allfällige vorsorgliche Massnahme gegen die Gesuchs- gegnerinnen wie beispielsweise ein Vertriebsverbot für die F.-Plüschtiere der Gesuchsgegnerinnen unweigerlich einen Umsatzeinbruch bzw. einen Schaden zur Folge hätte (Schutzschrift der Gesuchsgegnerin 1 N. 70; Schutzschrift der Gesuchsgegnerin 2 N. 79).</w:t>
      </w:r>
    </w:p>
    <w:p>
      <w:r>
        <w:rPr>
          <w:b/>
        </w:rPr>
        <w:t>E. 15.2</w:t>
      </w:r>
    </w:p>
    <w:p>
      <w:r>
        <w:t>Rechtliches Ist ein Schaden für die Gegenpartei zu befürchten, so kann das Gericht die Anordnung vorsorglicher Massnahmen von der Leistung einer Sicherheit durch die gesuchstellende Partei abhängig machen (Art. 264 Abs. 1 ZPO). Vorausgesetzt ist primär ein Antrag des Gesuchsgegners auf Sicherheits- leistung. Dieser ist soweit möglich zu substantiieren. Zweite Voraussetzung für die Anordnung einer Sicherheitsleistung nach Art. 264 ZPO ist die Glaubhaftmachung eines Schadenersatzanspruchs. Gemäss Gesetzes- wortlaut ist einzig der Bestand der Schadenersatzgefahr, nicht aber die Höhe des allfälligen Schadens glaubhaft zu machen. Als Schaden gilt die Differenz zwischen dem aktuellen Vermögensstand und dem hypotheti- schen Stand, den das betroffene Vermögen ohne eine nachteilige vorsorg- liche Massnahme hätte. Der Schaden kann in der Abnahme der Aktiven, der Erhöhung der Passiven oder entgangenem Gewinn bestehen. Die Be- fürchtung des Schadens muss objektiviert sein, d.h. mit dem Eintritt des Schadens muss mit einer gewissen objektiven Wahrscheinlichkeit gerech- net werden.46 Dem Gericht steht bei der Anordnung einer Sicherheitsleistung ein Ermes- sensspielraum zu; es kann mithin selbst dann auf die Anordnung einer sol- chen verzichten, wenn die Voraussetzungen gegeben sind. Die Höhe der Sicherheitsleistung muss verhältnismässig sein, d.h. im Vergleich zum be- fürchteten Schaden der Gegenpartei angemessen. Abzustellen ist auf die mutmassliche Höhe des Schadens der Gegenpartei. Üblicherweise werden in kleineren immaterialgüterrechtlichen Fällen Beträge von Fr. 10'000.00 bis Fr. 50'000.00, in mittleren Fällen von Fr. 50'000.00 bis Fr. 100'000.00 und in grossen Fällen bis zu Fr. 300'000.00. Das Gericht kann die angeord- nete Sicherheit jederzeit nachträglich vermindern, erhöhen oder in anderer Weise ändern, wenn das Verhältnis zwischen Schaden und Sicherheit nicht mehr stimmt.47 Eine geleistete Sicherheit ist freizugeben, wenn feststeht, dass keine Scha- denersatzklage erhoben wird; bei Ungewissheit setzt das Gericht eine Frist zur Klage (Art. 264 Abs. 3 ZPO). Die Gesuchsgegnerinnen sind aufzufor- dern, eine allfällige Klageerhebung an einem anderen Gericht mitzuteilen.</w:t>
      </w:r>
    </w:p>
    <w:p>
      <w:r>
        <w:rPr>
          <w:b/>
        </w:rPr>
        <w:t>E. 15.3</w:t>
      </w:r>
    </w:p>
    <w:p>
      <w:r>
        <w:t>Würdigung Ein Antrag der Gesuchsgegnerinnen auf Anordnung einer Sicherheitsleis- tung ist vorhanden. Die gesuchsgegnerische Behauptung, dass ein Ver- triebsverbot für die F.-Plüschtiere der Gesuchsgegnerinnen eine Umsatz- einbusse und einen Schaden zur Folge haben werde, wurde von der Ge- suchstellerin nicht bestritten und ist deshalb als glaubhaft zu unterstellen. Die Voraussetzungen für die Anordnung einer Sicherheitsleistung sind des- halb gegeben. Die Gesuchsgegnerinnen machen zur beantragten Höhe der Sicherheitsleistung von Fr. 500'000.00 keine weiteren Ausführungen. Sie erscheint unverhältnismässig hoch in Anbetracht dessen, dass es um die Markteinführung eines Plüschtiers geht. Im Hinblick auf die Dauer eines allfälligen Hauptprozesses zur Prosequierung der vorsorglichen Mass- nahme erweist sich zurzeit eine Sicherheitsleistung von Fr. 200'000.00 als verhältnismässig. Eine spätere Anpassung bleibt vorbehalten. Zurzeit ist noch ungewiss, ob die Gesuchsgegnerinnen eine Schadener- satzklage gegen die Gesuchstellerin einleiten werden. Es ist ihr deshalb eine (erstreckbare) Frist von einem Jahr anzusetzen. 16. Prozesskosten</w:t>
      </w:r>
    </w:p>
    <w:p>
      <w:r>
        <w:rPr>
          <w:b/>
        </w:rPr>
        <w:t>E. 16</w:t>
      </w:r>
    </w:p>
    <w:p>
      <w:r>
        <w:t>SHK UWG-OETIKER, 2. Aufl. 2016, Art. 3 lit. e N. 4, 11 ff., 36; STAUBER/ISKIC, in: Heiz- mann/Loacker, Kommentar zum UWG, 2018, Art. 3 Abs. 1 lit. e N. 5, 7; BSK UWG-SCHMID, 2013, Art. 3 Abs. 1 lit. e N. 30 f., 86, 89, 94.</w:t>
      </w:r>
    </w:p>
    <w:p>
      <w:r>
        <w:t>- 17 - übertragen. Die Existenz solcher positiver Assoziationen mit dem Bezugs- objekt seitens des Publikums sind Voraussetzung dafür, dass der gute Ruf des Mitbewerbers ausgenutzt werden kann.17 Der Vergleich erfolgt dabei durch Anlehnung an Konkurrenzprodukte, wobei nicht im eigentlichen Sinne Fakten verglichen werden, sondern dargelegt wird, dass das eigene Produkt in irgendeiner Art Beziehung zum Produkt des Mitbewerbers steht.18 Es geht um die Koppelung der eigenen mit der fremden Ware, um deren Bekanntheit auszunutzen.19 Der vorausgesetzte Vergleich kann auch konkludent, implizit durch Werbe- oder Marketingmassnahmen erfolgen.20 Unter den Tatbestand von Art. 3 Abs. 1 lit. e UWG fallen somit Verhaltens- weisen, mit denen sich Mitbewerber unnötig an die Leistungen eines Dritten anlehnen oder dessen Ruf ausbeuten. Die Rufausbeutung kann insbeson- dere darin bestehen, dass die fremde Ware derart in der eigenen Werbung eingesetzt wird, dass das Image auf die eigenen Angebote transferiert wird. Dies erfolgt insbesondere durch das Erwecken von Gedankenassoziatio- nen zur fremden Ware.21 Unter Art. 3 Abs. 1 lit. e UWG fällt somit die soge- nannte assoziative "Verwechslungsgefahr", wonach unmissverständlich eine Botschaft "Ersatz für" oder "gleich gut wie" das ältere Produkt vermit- telt wird.22 Einer lauterkeitsrechtlichen Verwechslungsgefahr wie beim wettbewerbs- rechtlichen Kennzeichenschutz von Art. 3 Abs. 1 lit. d UWG bedarf es nicht. Die Anforderungen an die Ähnlichkeit sind bei der Schaffung einer Gedan- kenassoziation geringer als bei der Verwechslungsgefahr. Allerdings ge- nügt nicht schon jede noch so geringfügige Ähnlichkeit, um eine unlautere Anlehnung zu bejahen. Vielmehr ist zusätzlich erforderlich, dass ein Merk- mal in einer Weise verwendet wird, dass es nicht anders denn als Anleh- nung an diejenige eines Dritten gedeutet werden kann, und diese objektiv geeignet ist, beim Adressaten eine gedankliche Verbindung zum Drittzei- chen bzw. den damit gekennzeichneten Produkten zu wecken. Das Verbot der unlauteren Anlehnung an ein Konkurrenzprodukt soll nur eindeutige Fälle unnötiger Anlehnungen erfassen, die nicht durch ein Informationsbe- dürfnis zu rechtfertigen sind. Gleichzeitig ist umso mehr eine Rufausbeu- tung durch Imagetransfer anzunehmen, je ähnlicher sich die Merkmale</w:t>
      </w:r>
    </w:p>
    <w:p>
      <w:r>
        <w:rPr>
          <w:b/>
        </w:rPr>
        <w:t>E. 16.1</w:t>
      </w:r>
    </w:p>
    <w:p>
      <w:r>
        <w:t>Verteilungsgrundsätze Das Gericht entscheidet über die Prozesskosten im Endentscheid (Art. 14 Abs. 1 ZPO). Gemäss Art. 106 Abs. 1 ZPO werden die Prozesskosten der unterliegenden Partei auferlegt. Sind am Prozess mehrere Personen als Haupt- oder Nebenparteien beteiligt, so bestimmt das Gericht ihren Anteil an den Prozesskosten. Es kann auf solidarische Haftung erkennen (Art. 106 Abs. 3 ZPO).</w:t>
      </w:r>
    </w:p>
    <w:p>
      <w:r>
        <w:rPr>
          <w:b/>
        </w:rPr>
        <w:t>E. 16.2</w:t>
      </w:r>
    </w:p>
    <w:p>
      <w:r>
        <w:t>Unterliegen der Gesuchsgegnerinnen Die Gesuchstellerin obsiegt mit ihrem Rechtsbegehren vollständig. Die Ge- suchsgegnerinnen haben deshalb die Prozesskosten für das vorliegende Verfahren zu tragen. In Anwendung von Art. 106 Abs. 3 ZPO sind die Pro- zesskosten den Gesuchsgegnerinnen unter solidarischer Haftbarkeit auf- zuerlegen.</w:t>
      </w:r>
    </w:p>
    <w:p>
      <w:r>
        <w:rPr>
          <w:b/>
        </w:rPr>
        <w:t>E. 16.3</w:t>
      </w:r>
    </w:p>
    <w:p>
      <w:r>
        <w:t>Gerichtskosten Die Gerichtskosten für das vorliegende Verfahren sind in Anwendung von § 8 VKD auf Fr. 7'000.00 festzusetzen. Diese sind ausgangsgemäss von den Gesuchsgegnerinnen zu tragen. Die Gerichtskosten sind mit dem Vorschuss der Gesuchstellerin von Fr. 7'000.00 zu verrechnen. Die Gesuchsgegnerinnen haben der Gesuch- stellerin unter solidarischer Haftbarkeit Fr. 7'000.00 direkt zu ersetzen.</w:t>
      </w:r>
    </w:p>
    <w:p>
      <w:r>
        <w:t>- 31 -</w:t>
      </w:r>
    </w:p>
    <w:p>
      <w:r>
        <w:rPr>
          <w:b/>
        </w:rPr>
        <w:t>E. 16.4</w:t>
      </w:r>
    </w:p>
    <w:p>
      <w:r>
        <w:t>Gerichtskosten in den Verfahren betreffend Schutzschriften Die Gesuchsgegnerinnen haben je eine Schutzschrift eingereicht. Im Ent- scheid betreffend Entgegennahme und Aufbewahrung der Schutzschrift wurde eine Wiedererwägung der Kostenverteilung in einem allfälligen vor- sorglichen Massnahmeverfahren vorbehalten. Eine solche erweist sich nicht als gerechtfertigt, da die Gesuchsgegnerinnen im vorliegenden Ver- fahren unterliegen.</w:t>
      </w:r>
    </w:p>
    <w:p>
      <w:r>
        <w:rPr>
          <w:b/>
        </w:rPr>
        <w:t>E. 16.5</w:t>
      </w:r>
    </w:p>
    <w:p>
      <w:r>
        <w:t>Parteientschädigung Bei einem Streitwert von Fr. 100'000.00 (vgl. Gesuch N. 21, Art. 91 Abs. 2 ZPO) resultiert eine Grundentschädigung (für das ordentliche und verein- fachte Verfahren) gemäss § 3 Abs. 1 lit. a AnwT von Fr. 12'930.00. In sum- marischen Verfahren beträgt die Grundentschädigung 25 bis 100 % dieses Ansatzes (§ 3 Abs. 2 AnwT). Vorliegend rechtfertigt es sich im Hinblick auf die umfangreichen Rechtsschriften und die Komplexität der Angelegenheit, die Grundentschädigung auf 75 % der Entschädigung gemäss § 3 Abs. 1 lit. a AnwT festzulegen, d.h. gerundet Fr. 9'700.00. Damit sind Instruktion, Aktenstudium, rechtliche Abklärungen, Korrespondenz, Telefongespräche sowie eine Rechtsschrift und die Teilnahme an einer behördlichen Ver- handlung abgegolten (§ 6 Abs. 1 AnwT). Weitere Zu- oder Abschläge ge- mäss §§ 6 oder 7 AnwT sind nicht angezeigt. Zuzüglich einer Auslagen- pauschale von praxisgemäss 3 % resultierte eine Parteientschädigung zu- gunsten der Gesuchstellerin von gerundet Fr. 9'990.00. Der Präsident erkennt: 1. In Gutheissung des Gesuchs vom 11. Dezember 2019 wird der Gesuchs- gegnerin 1 und der Gesuchsgegnerin 2 unter Androhung einer Ordnungs- busse für jeden Tag der Nichterfüllung i.S.v. Art. 343 Abs. 1 lit. c ZPO sowie unter Androhung der Bestrafung ihrer Organe nach Art. 292 StGB mit Busse im Widerhandlungsfall verboten, in der Schweiz im geschäftlichen Verkehr die nachfolgend abgebildeten Plüschtiere und Plüschtier-Schlüs- selanhänger unter den Bezeichnung "F." anzubieten, zu bewerben, in Ver- kehr zu bringen oder verkaufen zu lassen. [Abbildungen von Plüschtieren mit grossen Köpfen und Augen] 2. Art. 292 StGB lautet: " Wer der von einer zuständigen Behörde oder einem zuständigen Beamten unter Hinweis auf die Strafdrohung dieses Artikels an ihn erlassenen Ver- fügung nicht Folge leistet, wird mit Busse bestraft."</w:t>
      </w:r>
    </w:p>
    <w:p>
      <w:r>
        <w:t>- 32 - 3. Der Gesuchstellerin wird Frist bis zum 20. April 2020 angesetzt, um Klage im ordentlichen Verfahren anzuheben. Im Säumnisfall fallen die in vorste- hender Dispositiv-Ziff. 1 angeordneten vorsorglichen Massnahmen dahin. 4. 4.1. Die von der Gesuchstellerin in Nachachtung von Ziff. 4 der Verfügung vom 12. Dezember 2019 bereits geleistete Sicherheitsleistung in Höhe von Fr. 200'000.00 zugunsten der Gesuchsgegnerinnen bleibt bestehen. 4.2. Den Gesuchsgegnerinnen wird Frist bis zum 20. Januar 2021 angesetzt zur Einreichung einer Schadenersatzklage gegen die Gesuchstellerin im Zusammenhang mit der vorliegenden vorsorglichen Massnahme. Im Säumnisfall verfällt die Sicherheitsleistung gemäss Ziff. 4.1. Die Gesuchsgegnerinnen haben dem Handelsgericht des Kantons Aargau eine Klageeinleitung an einem anderen Gericht innert Frist mitzuteilen. 5. 5.1. Die Gerichtskosten in der Höhe von Fr. 7'000.00 sind unter solidarischer Haftbarkeit von den Gesuchsgegnerinnen zu tragen. Die Gerichtskosten werden mit dem von der Gesuchstellerin in der Höhe von Fr. 7'000.00 geleisteten Vorschuss verrechnet. Die Gesuchsgegnerin- nen haben der Gesuchstellerin unter solidarischer Haftbarkeit Fr. 7'000.00 direkt zu ersetzen. 5.2. Die Gesuchsgegnerinnen haben der Gesuchstellerin unter solidarischer Haftbarkeit eine Parteientschädigung in der Höhe von Fr. 9'990.00 (inkl. Auslagen) zu leisten. 5.3. Eine abweichende Verteilung der in Ziff. 5.1 und 5.2 vorstehend verlegten Gerichts- und Parteikosten im allfälligen Hauptprozess bleibt vorbehalten, falls dieser vor dem Handelsgericht des Kantons Aargau durchgeführt wird. Zustellung an: […]</w:t>
      </w:r>
    </w:p>
    <w:p>
      <w:r>
        <w:t>- 33 -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20. Januar 2020 Handelsgericht des Kantons Aargau 1. Kammer Der Präsident: Die Gerichtsschreiberin: Dubs Schmutz</w:t>
      </w:r>
    </w:p>
    <w:p>
      <w:r>
        <w:rPr>
          <w:b/>
        </w:rPr>
        <w:t>E. 17</w:t>
      </w:r>
    </w:p>
    <w:p>
      <w:r>
        <w:t>BSK UWG-SCHMID (Fn. 16), N. 30 f., 86, SHK UWG-OETIKER (Fn. 16), Art. 3 lit. e N. 4; STAU- BER/ISKIC (Fn. 16), Art. 3 Abs. 1 lit. e N. 5, 8.</w:t>
      </w:r>
    </w:p>
    <w:p>
      <w:r>
        <w:rPr>
          <w:b/>
        </w:rPr>
        <w:t>E. 18</w:t>
      </w:r>
    </w:p>
    <w:p>
      <w:r>
        <w:t>SHK UWG-OETIKER (Fn. 16), Art. 3 lit. e N. 11 ff.; BSK UWG-SCHMID (Fn. 16), Art. 3 Abs. 1 lit. e N. 30 f.; STAUBER/ISKIC (Fn. 16), Art. 3 Abs. 1 lit. e N. 7 je m.w.N.</w:t>
      </w:r>
    </w:p>
    <w:p>
      <w:r>
        <w:rPr>
          <w:b/>
        </w:rPr>
        <w:t>E. 19</w:t>
      </w:r>
    </w:p>
    <w:p>
      <w:r>
        <w:t>SHK UWG-OETIKER (Fn. 16), Art. 3 lit. e N. 36; BSK UWG-SCHMID (Fn. 16), Art. 3 Abs. 1 lit. e N. 86 und 89.</w:t>
      </w:r>
    </w:p>
    <w:p>
      <w:r>
        <w:rPr>
          <w:b/>
        </w:rPr>
        <w:t>E. 20</w:t>
      </w:r>
    </w:p>
    <w:p>
      <w:r>
        <w:t>BGE 135 III 446 E. 7.1; BGer 4A_103/2008 vom 7. Juli 2008 E. 6; BSK UWG-SCHMID (Fn. 16), Art. 3 Abs. 1 lit. e N. 94.</w:t>
      </w:r>
    </w:p>
    <w:p>
      <w:r>
        <w:rPr>
          <w:b/>
        </w:rPr>
        <w:t>E. 21</w:t>
      </w:r>
    </w:p>
    <w:p>
      <w:r>
        <w:t>BGE 135 III 446 E. 7.1; BGer 4A_103/2008 vom 7. Juli 2008 E. 6, 4A_467/2007 und 4A_469/2007 vom 8. Februar 2008 E. 4.3 je m.w.N.</w:t>
      </w:r>
    </w:p>
    <w:p>
      <w:r>
        <w:rPr>
          <w:b/>
        </w:rPr>
        <w:t>E. 22</w:t>
      </w:r>
    </w:p>
    <w:p>
      <w:r>
        <w:t>Vgl. etwa BGE 135 III 446 E. 7.1; BGer 4A_103/2008 vom 7. Juli 2008 E. 6; SHK UWG-OETIKER (Fn. 16), Art. 3 lit. e N. 40.</w:t>
      </w:r>
    </w:p>
    <w:p>
      <w:r>
        <w:t>- 18 - nach ihrem Gesamteindruck und je näher sich die Produkte sind.23 Die Grenzlinie zwischen zulässiger und unzulässiger Anlehnung bzw. Rufaus- beutung wird auch von der Zumutbarkeit eines weiteren Abstands beein- flusst.24 Unnötig ist eine Anlehnung, wenn sie ohne sachlichen Rechtfertigungs- grund erfolgt oder das zur Information erforderliche Mass überschreitet.25 Je mehr das Bezugsprodukt als eigentliches "Zugpferd" verwendet wird, desto eher ist die Anlehnung als unnötig zu qualifizieren.26 8.3. Würdigung 8.3.1. Berechtigung an den F.-Marken 8.3.1.1. Markeninhaberschaft gemäss Markenregister Die Gesuchsgegnerin 1 bzw. andere Gesellschaften der B.-Gruppe haben während der Vertragslaufzeit des Vertriebsvertrags zwischen der Gesuch- stellerin und der B. Deutschland GmbH unbestrittenermassen verschie- dene Marken (Wortmarken und Wort-/Bildmarken) mit den Wortbestandtei- len F. registrieren liessen, so insbesondere auch für die Schweiz (Plädo- yernotizen der Gesuchsgegnerin 1 und Streitberufenen der Gesuchsgeg- nerin 2 N. 5; Beilagen zur Schutzschrift der Gesuchsgegnerin 1 1-5; Beila- gen zur Schutzschrift der Gesuchsgegnerin 2 1-5). Die Gesuchstellerin macht nun geltend, diese seien gestützt auf Art. 4 MSchG bzw. den Ver- triebsvertrag zu löschen bzw. an die Gesuchstellerin zu übertragen. 8.3.1.2. Kein Löschungs-/Übertragungsanspruch gestützt auf Art. 4 MSchG Die Gesuchstellerin hat ihre Plüschtiere der streitgegenständlichen Pro- duktlinie ursprünglich unter dem Namen G. vertrieben. Erst ab dem Jahr 2010 (Gesuchstellerin) bzw. 2011 (Gesuchsgegnerin 1 und Streitberufene der Gesuchsgegnerin 2) tauchte die Bezeichnung F. erstmals in der DACH- Region für die Plüschtiere der Gesuchstellerin auf. Wer diese Bezeichnung wann erstmals in Verbindung mit den Plüschtieren der Gesuchstellerin ge- bracht habe, kann aufgrund der widersprechenden Ausführungen der Par- teien nicht abschliessend beurteilt werden. Fest steht, dass es nicht die Gesuchstellerin, sondern entweder Käufer der Plüschtiere der Gesuchstel- lerin oder die B.-Gruppe waren, und zwar spätestens im Jahr 2011.</w:t>
      </w:r>
    </w:p>
    <w:p>
      <w:r>
        <w:rPr>
          <w:b/>
        </w:rPr>
        <w:t>E. 23</w:t>
      </w:r>
    </w:p>
    <w:p>
      <w:r>
        <w:t>BGE 135 III 446 E. 7.1 und 7.5; BGer 4A_103/2008 vom 7. Juli 2008 E. 6, 4A_467/2007 und 4A_469/2007 vom 8. Februar 2008 E. 4.1, 4.3 und 6.2; SHK UWG-OETIKER (Fn. 16), Art. 3 lit. e N. 36 und 39; BSK UWG-SCHMID (Fn. 16), Art. 3 Abs. 1 lit. e N. 86, 89 und 109; STAUBER/ISKIC (Fn. 16), Art. 3 Abs. 1 lit. e N. 37 je m.w.N.</w:t>
      </w:r>
    </w:p>
    <w:p>
      <w:r>
        <w:rPr>
          <w:b/>
        </w:rPr>
        <w:t>E. 24</w:t>
      </w:r>
    </w:p>
    <w:p>
      <w:r>
        <w:t>HGer ZH HG970259 vom 8. Juli 1999 E. 3 (sic! 2000, S. 307 ff.).</w:t>
      </w:r>
    </w:p>
    <w:p>
      <w:r>
        <w:rPr>
          <w:b/>
        </w:rPr>
        <w:t>E. 25</w:t>
      </w:r>
    </w:p>
    <w:p>
      <w:r>
        <w:t>STAUBER/ISKIC (Fn. 16), Art. 3 Abs. 1 lit. e N. 56.</w:t>
      </w:r>
    </w:p>
    <w:p>
      <w:r>
        <w:rPr>
          <w:b/>
        </w:rPr>
        <w:t>E. 26</w:t>
      </w:r>
    </w:p>
    <w:p>
      <w:r>
        <w:t>STAUBER/ISKIC (Fn. 16), Art. 3 Abs. 1 lit. e N. 60</w:t>
      </w:r>
    </w:p>
    <w:p>
      <w:r>
        <w:t>- 19 - Bei der Bezeichnung F. handelt es sich somit nicht um eine bereits vor Ab- schluss des Vertriebsvertrags von der Gesuchstellerin benutzte Bezeich- nung bzw. Marke. Vielmehr wurde diese erst kreiert und etabliert, nachdem die B.-Gruppe für den Vertrieb in der DACH-Region zuständig wurde. Da- ran ändert sich auch nichts, wenn die Gesuchstellerin darlegt, dass diese Bezeichnung in drei dokumentierten Fällen auch in anderen Ländern be- nutzt wurde (GB 22). Es handelt sich in zwei Fällen um Amazon-Inserate, wobei über den Verkäufer und dessen Herkunft (möglicherweise aus der DACH-Region) nichts bekannt ist. Die Bezeichnung der Plüschtiere mit F. ist also massgebend auf die B.-Gruppe zurückzuführen; ein vorbestehen- des, irgendwie gelagertes Recht oder auch nur eine Benutzung dieser Be- zeichnung durch die Gesuchstellerin selber ist nicht glaubhaft gemacht, weshalb sich der Schluss aufdrängt, dass vorliegend kein Anwendungsfall von Art. 4 MSchG gegeben ist. 8.3.1.3. Kein Löschungs-/Übertragungsanspruch gestützt auf den Ver- triebsvertrag In Betracht zu ziehen wäre auch ein möglicher vertraglicher Anspruch der Gesuchstellerin an der Löschung bzw. Übertragung der F.-Marken. Die Ge- suchstellerin beruft sich auf eine Bestimmung im Vertriebsvertrag, wonach die B. Deutschland GmbH verpflichtet sei, "to remove, or dispose of, any signs, stationery, advertising material, or other indicia relating DISTRIBU- TOR to the sale of the Products and use of related A. trademarks". Ein tatsächlicher Konsens betreffend dieser Bestimmung wurde nicht behaup- tet bzw. ist auf jeden Fall nicht glaubhaft gemacht. Klar erscheint, dass es sich bei den F.-Marken nicht um Marken der Gesuchstellerin im Sinne des Vertragstextes handelt, sondern um solche, welche von der Gesuchsgeg- nerin 1 oder anderen Gesellschaften der B.-Gruppe geschützt worden sind. Nach objektivierter Auslegung sind damit Marketingmaterialien (insbeson- dere Schilder, Papeteriewaren, Werbemittel) gemeint, welche die B.- Gruppe für die Vermarktung der Plüschtiere der Gesuchstellerin hergestellt hat. Es kann nach dem Vertrauensprinzip insbesondere keine allfälligen neuen Markenschöpfungen betreffen, sondern muss sich allein auf die im Rahmen des Vertriebsverhältnisses hergestellten Marketingmaterialien mit den Marken der Gesuchstellerin beziehen. Somit ist zusammenfassend festzuhalten, dass zurzeit von einer gültigen Markeninhaberschaft durch die Gesuchsgegnerin 1 bzw. durch die anderen Gesellschaften der B.- Gruppe ausgegangen werden muss. 8.3.2. Kein Ausschluss der lauterkeitsrechtlichen Ansprüche durch das Bestehen einer Marke Das UWG und das MSchG bestehen ohne Vorrangstellung des einen oder anderen nebeneinander. Das Bestehen der F.-Marken schliesst somit nicht aus, dass gegenüber den Markeninhabern und insbesondere den Ge- suchsgegnerinnen lauterkeitsrechtliche Ansprüche geltend gemacht wer- den können.</w:t>
      </w:r>
    </w:p>
    <w:p>
      <w:r>
        <w:t>- 20 - Wenn die Gesuchsgegnerinnen ausführen, dass die Gesuchstellerin kei- nerlei Prioritätsrechte im Sinne des Markenrechts für die Bezeichnung F. habe, dann hat dies auf die lauterkeitsrechtliche Beurteilung prima facie keinen Einfluss. Auch eine markenrechtliche Gebrauchspflicht führt nicht per se dazu, dass dies lauterkeitsrechtlich automatisch zulässig ist. Es ist deshalb in der Folge trotz Bestehens von entsprechenden Markenrechten zu prüfen, ob in den Handlungen der Gesuchsgegnerinnen unlauterer Wett- bewerb zu erblicken ist. 8.3.3. Unlauterkeit infolge unnötiger Anlehnung i.S.v. Art. 3 Abs. 1 lit. e UWG 8.3.3.1. Beurteilungsgegenstand Die Gesuchstellerin begehrt mit ihrem Gesuch die Beurteilung der lauter- keitsrechtlichen Zulässigkeit der Bezeichnung von Plüschtieren der Ge- suchsgegnerinnen als F. Nicht Verfahrensgegenstand ist die Frage, ob die Plüschtiere selber oder das Logo der Gesuchsgegnerinnen UWG-konform sind. Insofern die Parteien also Ausführungen dazu machen, ist dies vorlie- gend nur im Zusammenhang mit der Beurteilung der Bezeichnung F. rele- vant (so insbesondere in Bezug auf die Anlehnung, siehe unten E. 8.3.3.3). Eine weitergehende Untersuchung der lauterkeitsrechtlichen Zulässigkeit der Plüschtiere an sich oder des Logos ist vorliegend nicht erforderlich. 8.3.3.2. Bezeichnung F. als Hinweis auf die Gesuchstellerin bzw. ihre Plüschtiere Zumindest bis im Herbst 2017 wurden die Plüschtiere der Gesuchstellerin durch die B.-Gruppe gezielt unter der Bezeichnung F. vermarket (GB 10; Plädoyernotizen der Gesuchsgegnerin 1 und Streitberufenen der Gesuchs- gegnerin 2 N. 70). Die Gesuchstellerin behauptet denn auch, dass die Be- zeichnung F. bis heute durch den Schweizer Fachhandel, Onlineshops, De- tailhändler und Konsumenten mit der Gesuchstellerin assoziiert würden (Gesuch N. 36, 39, 41 f., 71, 82, 101, 104). Die Gesuchsgegnerinnen be- streiten dies zwar (Plädoyernotizen der Gesuchsgegnerin 1 und Streitberu- fenen der Gesuchsgegnerin 2 N. 72, 105). Sie anerkennen aber, dass die B.-Gruppe im Rahmen des Vertriebsverhältnisses mit der Gesuchstellerin einen "umfangreichen Markenaufbau" geleistet und viele Investitionen zur Bekanntmachung der Marke getätigt habe (Plädoyernotizen der Gesuchs- gegnerin 1 und Streitberufenen der Gesuchsgegnerin 2 N. 16, 29, 71). Da- von zeugt auch eine in dieser Zeit durchgeführte Aktion in N.-Restaurants. Die B.-Gruppe war gemäss Vertriebsvertrag auch dazu verpflichtet, den Vertrieb der Plüschtiere der Gesuchstellerin zu fördern und den Ruf der Gesuchstellerin sowie der gesuchstellerischen Produkte auszubauen (GB 28 S. 2-4). Die Gesuchsgegnerinnen gehen davon aus, dass die Bekanntheit der Plüschtiere der Gesuchstellerin unter der Bezeichnung F. einzig der B.-</w:t>
      </w:r>
    </w:p>
    <w:p>
      <w:r>
        <w:t>- 21 - Gruppe zuzurechnen sei, da es sich um eine Vertriebsmarke handle. Die Gesuchsgegnerinnen haben allerdings nicht dargelegt, dass die Bezeich- nung F. von den massgeblichen Verkehrskreisen27 als Hinweis auf die B.- Gruppe wahrgenommen worden wären bzw. immer noch würde. Die ver- wendete Bezeichnung wurden zu keinem Zeitpunkt als Vertriebsmarke ge- kennzeichnet. Für die massgeblichen Verkehrskreise konnte sie einzig ein Hinweis auf die Plüschtiere der Gesuchstellerin sein. Die Gesuchsgegne- rinnen anerkennen auch, dass bis heute gewisse Händler in Unkenntnis der markenrechtlichen Situation den Begriff F. für die Plüschtiere der Ge- suchstellerin verwenden (Plädoyernotizen der Gesuchsgegnerin 1 und Streitberufenen der Gesuchsgegnerin 2 N. 17). Dies deutet gerade darauf hin, dass diese Bezeichnung nach wie vor mit der Gesuchstellerin in Ver- bindung gebracht wird. Die Gesuchstellerin hat auch mit Verweis auf GB 8 und 13 – 16 glaubhaft gemacht, dass die Bezeichnung F. bis heute mit ihr assoziiert werde. Dass in einzelnen Fällen auch Plüschtiere anderer Her- steller so bezeichnet worden sein sollen, ändert an dieser Beurteilung nichts. Die Gesuchsgegnerinnen machen geltend, die Gesuchstellerin habe die F.- Marken im Rahmen einer mündlich vereinbarten unentgeltlichen Lizenz- nahme benutzen dürfen. Diese sei jetzt beendet und es würden keine wei- teren Ansprüche daraus mehr bestehen (Plädoyernotizen der Gesuchs- gegnerin 1 und Streitberufenen der Gesuchsgegnerin 2 N. 31, 50 f.). Die Gesuchsgegnerinnen haben keinerlei weiterführende Behauptungen auf- gestellt bzw. Beweismittel eingereicht im Zusammenhang mit dieser angeb- lichen mündlichen Lizenzerteilung. Vielmehr erscheint dies als nachträgli- che Schutzbehauptung. Ohnehin würde dies nichts an der Beurteilung än- dern, dass die Bezeichnung F. in den massgeblichen Verkehrskreisen mit der Gesuchstellerin assoziiert wird. Diese Schlussfolgerungen bedeuten entgegen den Gesuchsgegnerinnen gerade nicht, dass die Markenrechte an den F.-Marken der Gesuchstellerin angewachsen wären. Der Gesuchstellerin kommen gemäss vorliegender Auslegung vielmehr keinerlei markenrechtliche Ansprüche zu (vgl. oben E. 8.3.1). Die Ausübung ihrer Markenrechte durch die Gesuchsgegnerin 1 bzw. andere Gesellschaften der B.-Gruppen könnte allerdings durch die lauterkeitsrechtlichen Ansprüche der Gesuchstellerin eingeschränkt wer- den (vgl. dazu sogleich E. 8.3.3.3 und 8.3.3.4). Dies schliesst einen Ge- brauch der Marken durch die Gesuchsgegnerinnen nicht gänzlich aus, son- dern nur in dem Umfang, in dem eine unnötige Anlehnung gegeben ist. Dies ist eine logische Folge der kumulativen Anwendbarkeit von MSchG und UWG.</w:t>
      </w:r>
    </w:p>
    <w:p>
      <w:r>
        <w:rPr>
          <w:b/>
        </w:rPr>
        <w:t>E. 27</w:t>
      </w:r>
    </w:p>
    <w:p>
      <w:r>
        <w:t>Als massgebliche Verkehrskreise müssen sowohl Detailhändler und Angehörige des Schweizer Fachhandels als auch Konsumenten allgemein gelten.</w:t>
      </w:r>
    </w:p>
    <w:p>
      <w:r>
        <w:t>- 22 - 8.3.3.3. Anlehnung Wie soeben dargelegt wurde, ist glaubhaft gemacht, dass die Bezeichnung F. im Zusammenhang mit Plüschtieren von den massgeblichen Verkehrs- kreisen mit der Gesuchstellerin in Verbindung gebracht wird. Die Gesuchs- gegnerinnen beabsichtigen nun, Plüschtiere mit der identischen Bezeich- nung auf den Markt zu bringen. Die Plüschtiere der Gesuchsgegnerinnen weisen sehr ähnliche Eigenschaften wie die Plüschtiere der Gesuchstelle- rin auf. So prägen die übergrossen Augen und der übergrosse Kopf den Gesamteindruck der beiden Plüschtierserien. Aufgrund der Identität der Produktbezeichnung und der grossen Ähnlichkeit der Plüschtiere ist von einem anlehnenden Verhalten auszugehen, da unweigerlich eine Gedan- kenassoziation mit den Plüschtieren der Gesuchstellerin entsteht. Die Gesuchsgegnerinnen argumentieren, dass jedes ihrer Plüschtiere ei- nen Hangtag und eine (nicht abtrennbare) Etikette aufweisen würden, auf welchen deutlich das D.-Kennzeichen zu erkennen sei. Das D.-Kennzei- chen weise aufgrund der jahrelangen intensiven Bewirtschaftung eine hohe Kennzeichnungskraft auf. Aufgrund der grossen Anzahl von Plüschtieren mit grossen Augen im Markt werde der Konsument überdies automatisch verstärkt auf das Herstellerkennzeichen achten (Plädoyernotizen der Ge- suchsgegnerin 1 und Streitberufenen der Gesuchsgegnerin 2 N. 47 f., 82, 88, 104, 107). Eine Herstellerbezeichnung vermag die Gedankenassozia- tion mit der Gesuchstellerin nicht aufzuheben, da bereits eine positive An- lehnung zur Übertragung der positiven Assoziationen mit einem fremden Produkt auf das eigene Produkt reicht. Genau diese Gefahr besteht vorlie- gend: Die massgeblichen Verkehrskreise könnten aufgrund der identischen Bezeichnung davon ausgehen, dass die Plüschtiere der Gesuchsgegne- rin 2 ein Nachfolge- oder Ersatzprodukt der Plüschtiere der Gesuchstellerin sind. Der Marktauftritt der Gesuchsgegnerinnen legt diesen Schluss auch nahe (GB 30-33). Es liegt somit eine Anlehnung i.S.v. Art. 3 Abs. 1 lit. e UWG vor. 8.3.3.4. Unnötige Anlehnung Die festgestellte Anlehnung erweist sich trotz des Bestehens von Marken- rechten als unnötig, weil damit die vorbestehende Bekanntheit der Pro- dukte der Gesuchstellerin unter der Bezeichnung F., auf welche sich die Gesuchstellerin berechtigterweise beruft, einzig zur Absatzförderung be- nutzt wird. Die Gesuchsgegnerinnen argumentieren zwar, dass sie auf- grund des Markenrechts und der zeitlichen Priorität die Bezeichnung F. ge- brauchen dürfen müsste. Dabei verkennen die Gesuchsgegnerinnen einer- seits, dass Marken- und Lauterkeitsrecht unabhängig voneinander beste- hen und die Eintragung in einem Markenregister nicht bedeutet, dass ein Zeichengebrauch ohne Einschränkungen zulässig ist. Vielmehr ist die lau- terkeitsrechtliche Zulässigkeit unabhängig von einem allfälligen Eintrag im</w:t>
      </w:r>
    </w:p>
    <w:p>
      <w:r>
        <w:t>- 23 - Markenregister zu prüfen. Überdies ist den Gesuchsgegnerinnen entge- genzuhalten, dass zwar tatsächlich die B.-Gruppe den Begriff zuerst ge- braucht hat. Dieser Gebrauch erfolgte aber im Rahmen des Vertriebsver- trags für die Gesuchstellerin, d.h. ist dieser zurechenbar. Dies konnte denn auch in den relevanten Verkehrskreisen nur so aufgefasst werden, wurde doch nie darauf hingewiesen, dass dies nicht die gesuchstellerischen Plüschtiere betreffen würde, sondern die B.-Gruppe. Die vorliegend rele- vante lauterkeitsrechtliche Gebrauchspriorität liegt somit bei der Gesuch- stellerin. Die Gesuchsgegnerin 2 vertreibt bereits Plüschtiere mit grossen Augen un- ter der offensichtlich nicht anlehnenden Bezeichnung O. Es gibt gemäss den Gesuchsgegnerinnen weitere Anbieter, die solche Plüschtiere unter Bezeichnungen anbieten, die ebenfalls von F. massgeblich verschieden sind. Ausser der Absatzförderung ist somit kein legitimer Grund ersichtlich, die exakt gleiche Bezeichnung zu benützen. Die Anlehnung erweist sich somit als unnötig. 8.3.3.5. Fazit Es liegt zusammenfassend eine unlautere unnötige Anlehnung an die Pro- dukte der Gesuchstellerin vor. In Anwendung von Art. 9 Abs.1 lit. a i.V.m. Art. 3 Abs. 1 lit. e UWG ist deshalb ein Unterlassungsanspruch der Ge- suchstellerin gegeben und eine positive Hauptsachenprognose zu stellen. Eine Prüfung der weiteren Unlauterkeitstatbestände erübrigt sich. 9. Nachteilsprognose 9.1. Parteibehauptungen Die Gesuchstellerin führt aus, mögliche Rufschädigungen, Kundenverluste oder entgangene Gewinne würden nach der Rechtsprechung zwar mit Geld grundsätzlich ausgleichbare Nachteile darstellen. Diese würden jedoch als schwer berechen- und nachweisbar gelten, so dass regelmässig in einer Konstellation wie der vorliegenden ein nicht leicht wiedergutzumachender Nachteil angenommen werde (Gesuch N. 107). Es drohe zudem eine Marktverwirrung, da die F. der Gesuchsgegnerinnen bereits in Webshops erscheinen würden und somit eine Verwechslungsgefahr bzw. Irreführung hervorrufen würden. Die Gesuchstellerin werde Marktanteile verlieren, wenn Kunden irrtümlich die F.-Produkte der Gesuchsgegnerinnen kaufen, da sie davon ausgehen würden, dass es sich um solche der Gesuchstelle- rin handle (Gesuch N. 109). Die Gesuchsgegnerinnen führen aus, die Gesuchstellerin hätte zu keinem Zeitpunkt Interesse daran geäussert, die Marke F. weiter zu nutzen. Nur schon deshalb sei ein nicht leicht wiedergutzumachender Nachteil zu ver-</w:t>
      </w:r>
    </w:p>
    <w:p>
      <w:r>
        <w:t>- 24 - neinen. Die Gesuchstellerin sei überdies nicht auf das Zeichen angewie- sen, habe der Umsatz doch im Jahr 2018 gesteigert werden können, nach- dem die Verwendung des Zeichens F. untersagt worden sei (Plädoyernoti- zen der Gesuchsgegnerin 1 und Streitberufenen der Gesuchsgegnerin 2 N. 109 f.). Im UWG seien sämtliche Umstände miteinzubeziehen. Beim Kauf von Online-Ware werde immer in unmittelbarer Nähe der Produktab- bildung auch der Herstellername gezeigt. Angesichts der zahllosen Plüsch- tiere mit grossen Augen im Markt werde der Konsument automatisch ver- stärkt auf das Herstellerkennzeichen achten. Das sehr kennzeichnungs- starke Zeichen D. sei in jedem Fall geeignet, eine Fehlzuordnung oder eine Irreführung zu verhindern, sodass eine Marktverwirrung ausgeschlossen werden könne (Plädoyernotizen der Gesuchsgegnerin 1 und Streitberufe- nen der Gesuchsgegnerin 2 N. 111). 9.2. Rechtliches Neben der Hauptsachenprognose hat die Gesuchstellerin glaubhaft zu ma- chen, dass ihr aus der Verletzung eines ihr zustehenden Anspruchs ein nicht leicht wiedergutzumachender Nachteil droht (Art. 261 Abs. 1 lit. b ZPO). Zu beantworten sind damit die beiden Fragen, ob Nachteile drohen, wenn keine vorsorgliche Massnahmen angeordnet werden und, für den Fall, dass keine vorsorglichen Massnahmen angeordnet werden und der befürchtete Nachteil daher eintritt, ob dieser mit einem anschliessenden Hauptsacheverfahren leicht wieder gutzumachen ist.28 Nachteile sind jegli- che Beeinträchtigungen der gesuchstellenden Partei sowohl tatsächlicher wie auch rechtlicher Art, materieller als auch immaterieller Natur.29 Auch bloss faktische Erschwernisse genügen.30 Der Nachteil muss ein zukünfti- ger sein. Bei bereits eingetretenen Nachteilen können vorsorgliche Mass- nahmen nur dann Platz haben, wenn eine weitere Benachteiligung droht.31 Weiter muss der Nachteil nicht leicht wiedergutzumachen sein. Dies ist dann nicht der Fall, wenn das Hauptsachenurteil abgewartet werden kann und dieses der gesuchstellenden Partei hinreichenden Rechtsschutz bie- tet.32 Nachteile sind etwa dann nicht leicht wieder gutzumachen, wenn sie später nicht mehr ermittelt, bemessen oder ersetzt werden können, etwa weil sie durch Geldleistung nicht oder nur unvollständig aufgewogen wer-</w:t>
      </w:r>
    </w:p>
    <w:p>
      <w:r>
        <w:rPr>
          <w:b/>
        </w:rPr>
        <w:t>E. 28</w:t>
      </w:r>
    </w:p>
    <w:p>
      <w:r>
        <w:t>BK ZPO II-GÜNGERICH, 2012, Art. 261 N. 30 ff.</w:t>
      </w:r>
    </w:p>
    <w:p>
      <w:r>
        <w:rPr>
          <w:b/>
        </w:rPr>
        <w:t>E. 29</w:t>
      </w:r>
    </w:p>
    <w:p>
      <w:r>
        <w:t>HUBER (Fn. 8), Art. 261 N. 20 m.w.N.; BK ZPO II-GÜNGERICH (Fn. 28), Art. 261 N. 34; BSK ZPO- SPRECHER (Fn. 8), Art. 261 N. 29; ZÜRCHER (Fn. 8), Art. 261 N. 25; STAEHELIN/STAEHELIN/ GROLIMUND, Zivilprozessrecht, 2. Aufl. 2013, § 22 N. 10.</w:t>
      </w:r>
    </w:p>
    <w:p>
      <w:r>
        <w:rPr>
          <w:b/>
        </w:rPr>
        <w:t>E. 30</w:t>
      </w:r>
    </w:p>
    <w:p>
      <w:r>
        <w:t>BK ZPO II-GÜNGERICH (Fn. 28), Art. 261 N. 34.</w:t>
      </w:r>
    </w:p>
    <w:p>
      <w:r>
        <w:rPr>
          <w:b/>
        </w:rPr>
        <w:t>E. 31</w:t>
      </w:r>
    </w:p>
    <w:p>
      <w:r>
        <w:t>HUBER (Fn. 8), Art. 261 N. 21; BK ZPO II-GÜNGERICH (Fn. 28), Art. 261 N. 35; BSK ZPO-SPRECHER (Fn. 8), Art. 261 N. 28a; STAEHELIN/STAEHELIN/GROLIMUND (Fn. 29), § 22 N. 10.</w:t>
      </w:r>
    </w:p>
    <w:p>
      <w:r>
        <w:rPr>
          <w:b/>
        </w:rPr>
        <w:t>E. 32</w:t>
      </w:r>
    </w:p>
    <w:p>
      <w:r>
        <w:t>BK ZPO II-GÜNGERICH (Fn. 28), Art. 261 N. 36.</w:t>
      </w:r>
    </w:p>
    <w:p>
      <w:r>
        <w:t>- 25 - den können, d.h. wenn ein rein ökonomischer Ausgleich keinen vollwerti- gen Ersatz begründet.33 Mögliche Rufschädigungen, Kundenverluste oder entgangene Gewinne stellen nach der Rechtsprechung zwar mit Geld grundsätzlich ausgleichbare Nachteile dar. Jedoch gelten diese künftigen Einbussen als kaum berechen- und nachweisbar, so dass regelmässig auch in einer solchen Konstellation ein nicht leicht wieder gutzumachender Nachteil angenommen wird.34 9.3. Würdigung Die Argumentation der Gesuchsgegnerinnen geht an der Sache vorbei. Ei- nerseits ist nicht relevant, ob die Gesuchstellerin gedenkt, ihre Plüschtiere weiterhin F. zu nennen. Entscheidend ist vielmehr, dass die Gefahr besteht, dass die Plüschtiere der Gesuchsgegnerinnen mit der Bezeichnung F. in den massgeblichen Verkehrskreisen mit der Gesuchstellerin assoziiert würden und die Gesuchstellerin aufgrund der Marktverwirrung Marktanteile verlieren würde. Aus demselben Grund ist auch irrelevant, ob die Gesuch- stellerin auf diese Bezeichnung angewiesen ist oder nicht. Im Jahr 2018 gab es soweit ersichtlich keinen weiteren Anbieter, der seine Plüschtiere systematisch F. nannte. Andererseits führen die Gesuchsgegnerinnen Ar- gumente an, warum keine Fehlzuordnung oder Irreführung geschehen werde. Dies wurde in E. 8 bereits gegenteilig beurteilt. Es kann somit voll- umfänglich auf die Begründung in E. 7.3 der Verfügung vom 12. Dezember 2019 verwiesen werden. 10. Dringlichkeit Weiter ist das Erfordernis der qualifizierten zeitlichen Dringlichkeit zu prü- fen. 10.1. Parteibehauptungen Die Gesuchstellerin führt aus, die Angelegenheit sei äusserst dringlich, da die Gesuchsgegnerinnen bereits mit dem Vorverkauf begonnen hätten, die Bewerbung der Produkte im Internet bereits erfolgen würde und die Ge- suchsgegnerinnen ausdrücklich angekündigt hätten, den Vertrieb ihrer Pro- dukte unter der Bezeichnung F. im Januar 2020 aufzunehmen. Die Ge- suchstellerin habe innert kürzester Zeit seit Kenntnis von einer allfälligen Bestellmöglichkeit in der Schweiz reagiert (Gesuch N. 113-116). Die Gesuchsgegnerinnen haben sich in ihrer mündlich vorgetragenen Ant- wort nicht zur Dringlichkeit geäussert.</w:t>
      </w:r>
    </w:p>
    <w:p>
      <w:r>
        <w:rPr>
          <w:b/>
        </w:rPr>
        <w:t>E. 33</w:t>
      </w:r>
    </w:p>
    <w:p>
      <w:r>
        <w:t>HUBER (Fn. 8), Art. 261 N. 20 m.w.N.; BSK ZPO-SPRECHER (Fn. 8), Art. 261 N. 34; ZÜRCHER (Fn. 8), Art. 261 N. 29; BAUDENBACHER/GLÖCKNER, in: Baudenbacher (Hrsg.), Lauterkeitsrecht, 2001, Art. 14 N. 22.</w:t>
      </w:r>
    </w:p>
    <w:p>
      <w:r>
        <w:rPr>
          <w:b/>
        </w:rPr>
        <w:t>E. 34</w:t>
      </w:r>
    </w:p>
    <w:p>
      <w:r>
        <w:t>Vgl. BSK ZPO-SPRECHER (Fn. 8), Art. 261 N. 34.</w:t>
      </w:r>
    </w:p>
    <w:p>
      <w:r>
        <w:t>- 26 - 10.2. Rechtliches Der Erlass vorsorglicher Massnahmen setzt zeitliche Dringlichkeit voraus. Diese liegt vor, wenn das ordentliche Verfahren klar länger dauert als das Massnahmenverfahren. Die voraussichtliche Dauer des Hauptverfahrens bis zu seiner rechtskräftigen Erledigung ist nicht abstrakt, sondern konkret anhand der Besonderheiten des Einzelfalles zu bestimmen.35 10.3. Würdigung Marken- und Lauterkeitsrechtsverletzungsprozesse dauern erfahrungsge- mäss deutlich länger als ein Jahr.36 Davon ist aufgrund der Komplexität der Angelegenheit auch vorliegend auszugehen. Deshalb ist die Dringlichkeit vorliegend zu bejahen. Überdies kann auf die Ausführungen in E. 8.3 der Verfügung vom 12. Dezember 2019 verwiesen werden; die Markteinfüh- rung der Produkte der Gesuchsgegnerin 2 scheint unmittelbar bevorzu- stehen. 11. Verhältnismässigkeit Zu prüfen ist überdies, ob die von der Gesuchstellerin beantragten Mass- nahmen verhältnismässig sind. 11.1. Parteibehauptungen Die Gesuchstellerin führt aus, das Verbot sei geeignet, den drohenden Nachteil abzuwenden. Ein anderer Rechtsbehelf sei nicht ersichtlich und es handle sich um das mildeste Mittel. Zudem bleibe es den Gesuchsgeg- nerinnen unbenommen, Plüschtiere auf den Markt zu bringen, solange dies unter anderer Bezeichnung als F. erfolge. Die Massnahme sei somit nicht einschneidend. Demgegenüber würde der über ein Jahrzehnt lang aufge- baute Werbewert und Ruf der Plüschtiere der Gesuchstellerin durch die Gesuchsgegnerinnen geschädigt (Gesuch N. 117-119). Die Gesuchsgegnerinnen führen lediglich aus, es bedürfe keiner Ausfüh- rungen zur Verhältnismässigkeit, da weder die Hauptsachen- noch die Nachteilsprognose zu bejahen sei (Plädoyernotizen der Gesuchsgegne- rin 1 und Streitberufenen der Gesuchsgegnerin 2 N. 112). 11.2. Rechtliches Vorsorgliche Massnahmen müssen verhältnismässig sein, da sie in die Rechtslage der Gegenpartei eingreifen, bevor ein definitiver Entscheid über den behaupteten Anspruch vorliegt. Es ist zu prüfen, ob überhaupt eine Massnahme anzuordnen ist. Darüber hinaus und vor allem bezieht sich das Kriterium der Verhältnismässigkeit auf die Frage nach der Art der verhäng- ten Massnahme und der Schwere des Eingriffs.37 Die Verhältnismässigkeit</w:t>
      </w:r>
    </w:p>
    <w:p>
      <w:r>
        <w:rPr>
          <w:b/>
        </w:rPr>
        <w:t>E. 35</w:t>
      </w:r>
    </w:p>
    <w:p>
      <w:r>
        <w:t>SHK MSchG-STAUB (Fn. 12), Art. 59 N. 23; SHK UWG-STAEHELIN (Fn. 16), Vor Art. 9-13a UWG N. 27.</w:t>
      </w:r>
    </w:p>
    <w:p>
      <w:r>
        <w:rPr>
          <w:b/>
        </w:rPr>
        <w:t>E. 36</w:t>
      </w:r>
    </w:p>
    <w:p>
      <w:r>
        <w:t>Vgl. Entscheid des Handelsgerichts des Kantons Aargau vom 19. Juni 2015, HSU.2015.23, E. 8.3.</w:t>
      </w:r>
    </w:p>
    <w:p>
      <w:r>
        <w:rPr>
          <w:b/>
        </w:rPr>
        <w:t>E. 37</w:t>
      </w:r>
    </w:p>
    <w:p>
      <w:r>
        <w:t>BSK ZPO-Sprecher (Fn. 8), Art. 261 N. 10.</w:t>
      </w:r>
    </w:p>
    <w:p>
      <w:r>
        <w:t>- 27 - ist aufgrund einer Interessenabwägung zu beurteilen, wobei die angeord- nete Massnahme sachlich und zeitlich nicht weitergehen darf, als zum vor- läufigen Schutz des glaubhaft gemachten Anspruchs nötig ist. Sie muss in einem vernünftigen Verhältnis zur Verhinderung des drohenden Nachteils stehen.38 11.3. Würdigung Den Ausführungen der Gesuchstellerin kann gefolgt werden: Die bean- tragte Massnahme erweist sich als geeignet und erforderlich; die Verhält- nismässigkeit im engeren Sinne ist mit Blick auf die befürchteten Nachteile bei Verzicht auf eine Massnahme gegeben. 12. Fazit Zusammenfassend ergibt sich, dass die Voraussetzungen für den Erlass des Verbots im vorsorglichen Massnahmeverfahren erfüllt sind. 13. Prosequierung Ist die Klage in der Hauptsache noch nicht rechtshängig, ist der gesuch- stellenden Partei nach Art. 263 ZPO eine Frist zur Einreichung der Klage anzusetzen mit der Androhung, die angeordnete Massnahme falle bei un- genutztem Ablauf der Frist ohne weiteres und ersatzlos dahin. Die Prose- quierungsfrist beträgt nach handelsgerichtlicher Praxis bei Fällen der vor- liegenden Grösse rund drei Monate, d.h. bis am 20. April 2020. 14. Direkte Vollstreckung</w:t>
      </w:r>
    </w:p>
    <w:p>
      <w:r>
        <w:rPr>
          <w:b/>
        </w:rPr>
        <w:t>E. 38</w:t>
      </w:r>
    </w:p>
    <w:p>
      <w:r>
        <w:t>BSK ZPO-Sprecher (Fn. 8), Art. 262 N. 47.</w:t>
      </w:r>
    </w:p>
    <w:p>
      <w:r>
        <w:rPr>
          <w:b/>
        </w:rPr>
        <w:t>E. 39</w:t>
      </w:r>
    </w:p>
    <w:p>
      <w:r>
        <w:t>SCHNEUWLY/VETTER, Die Realvollstreckung handelsgerichtlicher Entscheide, in: Jusletter 5. Septem- ber 2016, Rz. 17.</w:t>
      </w:r>
    </w:p>
    <w:p>
      <w:r>
        <w:t>- 28 - Bei der Wahl der Vollstreckungsmassnahme ist die zur Durchsetzung wirk- samste Anordnung zu wählen, wobei dem Grundsatz der Verhältnismäs- sigkeit Rechnung zu tragen ist.40 Sind keine Tatsachen erkennbar, welche die Vollstreckungsanträge als unverhältnismässig erscheinen lassen, hat sich das Gericht an diesen zu orientieren. Sofern sich die Gegenpartei nicht zu den Vollstreckungsmassnahmen äussert, läuft dies im Ergebnis darauf hinaus, dass das Gericht von den beantragten Vollstreckungsmassnahmen nur dann abweichen wird, wenn die Unverhältnismässigkeit offensichtlich ist.41 Es können verschiedene Massnahmen miteinander kombiniert wer- den.42</w:t>
      </w:r>
    </w:p>
    <w:p>
      <w:r>
        <w:rPr>
          <w:b/>
        </w:rPr>
        <w:t>E. 40</w:t>
      </w:r>
    </w:p>
    <w:p>
      <w:r>
        <w:t>STAEHELIN, in: Sutter-Somm/Hasenböhler/Leuenberger (Fn. 1), Art. 343 N. 14.</w:t>
      </w:r>
    </w:p>
    <w:p>
      <w:r>
        <w:rPr>
          <w:b/>
        </w:rPr>
        <w:t>E. 41</w:t>
      </w:r>
    </w:p>
    <w:p>
      <w:r>
        <w:t>SCHNEUWLY/VETTER (Fn. 39), Rz. 29.</w:t>
      </w:r>
    </w:p>
    <w:p>
      <w:r>
        <w:rPr>
          <w:b/>
        </w:rPr>
        <w:t>E. 42</w:t>
      </w:r>
    </w:p>
    <w:p>
      <w:r>
        <w:t>STAEHELIN (Fn. 40), Art. 343 N. 15.</w:t>
      </w:r>
    </w:p>
    <w:p>
      <w:r>
        <w:rPr>
          <w:b/>
        </w:rPr>
        <w:t>E. 43</w:t>
      </w:r>
    </w:p>
    <w:p>
      <w:r>
        <w:t>Vgl. SCHNEUWLY/VETTER (Fn. 39), Rz. 34 ff. m.w.N.</w:t>
      </w:r>
    </w:p>
    <w:p>
      <w:r>
        <w:rPr>
          <w:b/>
        </w:rPr>
        <w:t>E. 44</w:t>
      </w:r>
    </w:p>
    <w:p>
      <w:r>
        <w:t>BGE 142 III 587 E. 6.2.</w:t>
      </w:r>
    </w:p>
    <w:p>
      <w:r>
        <w:rPr>
          <w:b/>
        </w:rPr>
        <w:t>E. 45</w:t>
      </w:r>
    </w:p>
    <w:p>
      <w:r>
        <w:t>SCHNEUWLY/VETTER (Fn. 39), Rz. 29.</w:t>
      </w:r>
    </w:p>
    <w:p>
      <w:r>
        <w:t>- 29 - Die Gesuchstellerin hat sich nicht zur Sicherheitsleistung geäussert.</w:t>
      </w:r>
    </w:p>
    <w:p>
      <w:r>
        <w:rPr>
          <w:b/>
        </w:rPr>
        <w:t>E. 46</w:t>
      </w:r>
    </w:p>
    <w:p>
      <w:r>
        <w:t>BK ZPO II-GÜNGERICH (Fn. 28), Art. 264 N. 2, 9; BSK ZPO-SPRECHER (Fn. 8), Art. 264 N. 7, 9, 10.</w:t>
      </w:r>
    </w:p>
    <w:p>
      <w:r>
        <w:rPr>
          <w:b/>
        </w:rPr>
        <w:t>E. 47</w:t>
      </w:r>
    </w:p>
    <w:p>
      <w:r>
        <w:t>BSK ZPO-SPRECHER (Fn. 8), Art. 264 N. 17, 29 f., 35; DIKE Kommentar ZPO-ZÜRCHER, 2. Aufl. 2016, Art. 264 N. 4, 6.</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