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AG_HANDELSGERICHT HSU.2019.125 vom 23. Oktober 2019</w:t>
      </w:r>
    </w:p>
    <w:p>
      <w:r>
        <w:t>Ag Handelsgericht, 2019-10-23, DE</w:t>
      </w:r>
    </w:p>
    <w:p>
      <w:r>
        <w:rPr>
          <w:b/>
        </w:rPr>
        <w:t xml:space="preserve">Quelle: </w:t>
      </w:r>
      <w:r>
        <w:t>https://mcp.opencaselaw.ch/entscheid/ag_handelsgericht_HSU.2019.125</w:t>
      </w:r>
    </w:p>
    <w:p>
      <w:r>
        <w:t>FR: AG_HANDELSGERICHT HSU.2019.125 du 23 octobre 2019</w:t>
      </w:r>
    </w:p>
    <w:p>
      <w:r>
        <w:t>IT: AG_HANDELSGERICHT HSU.2019.125 del 23 ottobre 2019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Gesuchsgegnerin ist eine Aktiengesellschaft mit Sitz in S._____. Sie bezweckt gemäss Handelsregister im Wesentlichen den Betrieb einer […].</w:t>
      </w:r>
    </w:p>
    <w:p>
      <w:r>
        <w:t>- 2 -</w:t>
      </w:r>
    </w:p>
    <w:p>
      <w:r>
        <w:rPr>
          <w:b/>
        </w:rPr>
        <w:t>E. 3</w:t>
      </w:r>
    </w:p>
    <w:p>
      <w:r>
        <w:t>Es sei die Betreibung Nr. [...] des Betreibungsamtes R. super- provisorisch und ohne Anhörung der Gegenpartei vorläufig einzustellen.</w:t>
      </w:r>
    </w:p>
    <w:p>
      <w:r>
        <w:rPr>
          <w:b/>
        </w:rPr>
        <w:t>E. 4</w:t>
      </w:r>
    </w:p>
    <w:p>
      <w:r>
        <w:t>Vorschuss für die Gerichtskosten Von der Gesuchstellerin ist gemäss Art. 98 ZPO ein Vorschuss bis zur Höhe der mutmasslichen Gerichtkosten zu erheben.</w:t>
      </w:r>
    </w:p>
    <w:p>
      <w:r>
        <w:rPr>
          <w:b/>
        </w:rPr>
        <w:t>E. 5</w:t>
      </w:r>
    </w:p>
    <w:p>
      <w:r>
        <w:t>Weiterer Verfahrensablauf Das weitere Verfahren wird schriftlich durchgeführt. Der Gesuchsgegnerin wird Frist für eine Gesuchsantwort angesetzt. Danach entscheidet der Vi- zepräsident des Handelsgerichts über die vorsorgliche Massnahme ge- 3 Zum Ganzen BGE 136 III 587 E. 2, 133 III 684 E. 3.2; VOCK/AEPLI-WIRZ (Fn. 2), Art. 85a N. 8.</w:t>
      </w:r>
    </w:p>
    <w:p>
      <w:r>
        <w:t>- 5 - mäss Rechtsbegehren Ziff. 3. Das ordentliche Verfahren [...] (Rechtsbe- gehren-Ziff. 1 und 2) läuft parallel weiter.</w:t>
      </w:r>
    </w:p>
    <w:p>
      <w:r>
        <w:rPr>
          <w:b/>
        </w:rPr>
        <w:t>E. 6</w:t>
      </w:r>
    </w:p>
    <w:p>
      <w:r>
        <w:t>Zustellung Die Zustellung des Gesuchs erfolgt ausschliesslich an die Gesuchsgegnerin selber, weil dem Handelsgericht keine Vollmacht eines allfälligen Rechtsvertreters der Gesuchsgegnerin vorliegt. Der Vizepräsident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