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HOR:2022.55 vom 9. Januar 2023</w:t>
      </w:r>
    </w:p>
    <w:p>
      <w:r>
        <w:t>Ag Handelsgericht, 2023-01-09, DE</w:t>
      </w:r>
    </w:p>
    <w:p>
      <w:r>
        <w:rPr>
          <w:b/>
        </w:rPr>
        <w:t xml:space="preserve">Quelle: </w:t>
      </w:r>
      <w:r>
        <w:t>https://mcp.opencaselaw.ch/entscheid/ag_handelsgericht_HOR:2022.55</w:t>
      </w:r>
    </w:p>
    <w:p>
      <w:r>
        <w:t>FR: AG_HANDELSGERICHT HOR:2022.55 du 9 janvier 2023</w:t>
      </w:r>
    </w:p>
    <w:p>
      <w:r>
        <w:t>IT: AG_HANDELSGERICHT HOR:2022.55 del 9 gennaio 2023</w:t>
      </w:r>
    </w:p>
    <w:p>
      <w:pPr>
        <w:pStyle w:val="Heading2"/>
      </w:pPr>
      <w:r>
        <w:t>Erwägungen</w:t>
      </w:r>
    </w:p>
    <w:p>
      <w:r>
        <w:rPr>
          <w:b/>
        </w:rPr>
        <w:t>E. 2</w:t>
      </w:r>
    </w:p>
    <w:p>
      <w:r>
        <w:t>Der Beklagte mit Wohnsitz in Q. ist Inhaber eines Anwaltsbüros als Einzel- unternehmen (vgl. KB 3).</w:t>
      </w:r>
    </w:p>
    <w:p>
      <w:r>
        <w:rPr>
          <w:b/>
        </w:rPr>
        <w:t>E. 3</w:t>
      </w:r>
    </w:p>
    <w:p>
      <w:r>
        <w:t>Nachdem der Beklagte der Klägerin das Erhebungsformular nicht einge- reicht hatte, nahm diese eine Einschätzung des beklagtischen Unterneh- mens vor. Weil der Beklagte die Einschätzung nicht innert 30 Tagen bean- standete (Klage Rz. 8), stellte ihm die Klägerin folgende Beträge in Rech- nung (KB 4):  Rechnungen vom 15. September 2021: Fr. 146.05 und Fr. 138.40.</w:t>
      </w:r>
    </w:p>
    <w:p>
      <w:r>
        <w:rPr>
          <w:b/>
        </w:rPr>
        <w:t>E. 3.1</w:t>
      </w:r>
    </w:p>
    <w:p>
      <w:r>
        <w:t>Die Klägerin macht geltend, sie sei eine konzessionierte Verwertungsge- sellschaft im Sinne von Art. 40 ff. URG, besitze die Bewilligung des Eidge- nössischen Instituts für Geistiges Eigentum (IGE) für die Geltendmachung der gesetzlichen Vergütungsansprüche und sei somit aktivlegitimiert (KB 2; Klage Rz. 2). Der Beklagte sei gestützt auf Art. 19 f. URG verpflichtet, für seine urheberrechtlichen Nutzungen eine entsprechende Vergütung zu be- zahlen. Er sei trotz Mahnung seiner Zahlungspflicht nicht nachgekommen und deshalb passivlegitimiert (Klage Rz. 3).</w:t>
      </w:r>
    </w:p>
    <w:p>
      <w:r>
        <w:rPr>
          <w:b/>
        </w:rPr>
        <w:t>E. 3.2</w:t>
      </w:r>
    </w:p>
    <w:p>
      <w:r>
        <w:t>Gemäss Art. 19 Abs. 1 lit. c URG dürfen veröffentlichte Werke zum Eigen- gebrauch verwendet werden. Darunter fällt das Vervielfältigen von Werk- exemplaren in Betrieben, öffentlichen Verwaltungen, Instituten, Kommissi- onen und ähnlichen Einrichtungen für die interne Information oder Doku- mentation. Der Betriebsbegriff ist weit auszulegen. Eine Rechtspersönlich- keit oder Betriebsstätte ist dazu nicht notwendig.2 Erfasst wird somit die gesamte Berufs- und Arbeitswelt, egal ob öffentlich oder privat, von den Selbständigerwerbenden über Beamte, Verbände, Interessenorganisatio- nen bis zu den internationalen Konzernen.3 Weiter bestimmt Art. 20 Abs. 2 URG, dass wer nach Art. 19 Abs. 1 lit. c URG Werke auf irgendwelche Art vervielfältigt, dem Urheber oder der Urheberin hierfür eine Vergütung schul- det. Gemäss Art. 20 Abs. 4 URG können diese Vergütungsansprüche nur kollektiv von Verwertungsgesellschaften wahrgenommen werden, die über eine Bewilligung des IGE im Sinne von Art. 41 ff. URG verfügen. Die Ver- wertungsgesellschaften sind nach Art. 44 URG verpflichtet, die zu ihrem Tätigkeitsgebiet gehörenden Rechte wahrzunehmen. Dazu stellen die Ver- wertungsgesellschaften für die von ihnen geforderten Vergütungen gemäss Art. 46 Abs. 1 URG Tarife auf. Sind mehrere Verwertungsgesellschaften im gleichen Nutzungsbereich tä- tig, so stellen sie sog. gemeinsame Tarife (GT) auf und bezeichnen eine gemeinsame Zahlstelle (Art. 47 Abs. 1 URG). Gemäss Art. 46 Abs. 3 URG sind die Tarife der Eidgenössischen Schiedskommission für die Verwertung von Urheberrechten und verwandten Schutzrechten (ESchK) im Sinne von Art. 55 URG zur Genehmigung vorzulegen und nach Genehmigung zu ver- öffentlichen. Im Dienstleistungsbereich wurden dazu der GT 8 VII für die Reprografie und der GT 9 VII für die betriebsinternen Netzwerke rechtskräf- tig aufgestellt.4 2 SHK URG-GASSER, 2. Aufl. 2012, Art. 19 N. 19; REHBINDER/VIGANÒ, URG Kommentar, 3. Aufl. 2008, Art. 19 N. 26. 3 BARRELET/EGLOFF, Das neue Urheberrecht, Kommentar zum Bundesgesetz über das Urheberrecht und verwandte Schutzrechte, 4. Aufl. 2020, Art. 19 N. 20. 4 Vgl. dazu auch SHK URG-GASSER (Fn. 2), Art. 20 N. 11.</w:t>
      </w:r>
    </w:p>
    <w:p>
      <w:r>
        <w:t>- 6 -</w:t>
      </w:r>
    </w:p>
    <w:p>
      <w:r>
        <w:rPr>
          <w:b/>
        </w:rPr>
        <w:t>E. 3.3</w:t>
      </w:r>
    </w:p>
    <w:p>
      <w:r>
        <w:t>Bei der Klägerin handelt es sich um eine vom IGE bewilligte Verwertungs- gesellschaft im Sinne von Art. 40 ff. URG (KB 2). In Ziff. 4 GT 8 VII und in Ziff. 3 GT 9 VII wird die Klägerin als Vertreterin des Tarifs festgelegt und als gemeinsame Zahlstelle der Verwertungsgesellschaften bezeichnet (vgl. KB 5). Ihr kommt folglich das Recht und die Pflicht zu, die Rechte der Ur- heber und damit deren Vergütungsansprüche einzufordern und nötigenfalls durchzusetzen. Die Klägerin ist somit aktivlegitimiert. Beim Beklagten handelt es sich um den Inhaber einer Anwaltskanzlei als Einzelunternehmen (KB 3). Er fällt folglich unter den Betriebsbegriff von Art. 19 Abs. 1 lit. c URG und schuldet dem Urheber nach Art. 20 Abs. 2 URG für die Vervielfältigung von Werkexemplaren grundsätzlich eine Ver- gütung. Gemäss Ziff. 2.1 GT 8 VII und Ziff. 1.2 GT 9 VII decken beide Tarife Anwälte als Nutzer ab (vgl. KB 5). Der Beklagte ist damit vom GT 8 VII und vom GT 9 VII erfasst und folglich passivlegitimiert. 4. Vergütungsanspruch</w:t>
      </w:r>
    </w:p>
    <w:p>
      <w:r>
        <w:rPr>
          <w:b/>
        </w:rPr>
        <w:t>E. 4</w:t>
      </w:r>
    </w:p>
    <w:p>
      <w:r>
        <w:t>Die Klägerin mahnte den Beklagten mit Schreiben vom 29. Juli 2022 zur Bezahlung der ausstehenden Rechnungen (KB 6). Der Beklagte bezahlte nicht (Klage Rz. 9).</w:t>
      </w:r>
    </w:p>
    <w:p>
      <w:r>
        <w:rPr>
          <w:b/>
        </w:rPr>
        <w:t>E. 4.1</w:t>
      </w:r>
    </w:p>
    <w:p>
      <w:r>
        <w:t>Die Klägerin führte aus, mangels Rücksendung eines ausgefüllten Erhe- bungsformulars durch den Beklagten habe sie dessen Fotokopiervergü- tung sowie dessen betriebsinterne Netzwerkvergütung gestützt auf 6 ff. und insbesondere Ziff. 8.3 GT 8 VII sowie Ziff. 8.3 GT 9 VII eingeschätzt. Da der Beklagte die Einschätzung nicht beanstandet habe, gelte die Einschät- zung der Klägerin als anerkannt (Klage Rz. 8). Nachdem der Beklagte die offenen Rechnungsbeträge nicht beglichen habe, habe die Klägerin den Beklagten nochmals gemahnt, woraufhin wiederum keine Reaktion seitens des Beklagten erfolgt sei (KB 6; Klage Rz. 9). Insgesamt belaufe sich der offene Rechnungsbetrag auf Fr. 284.45 (KB 4; Klage Rz. 10).</w:t>
      </w:r>
    </w:p>
    <w:p>
      <w:r>
        <w:rPr>
          <w:b/>
        </w:rPr>
        <w:t>E. 4.2</w:t>
      </w:r>
    </w:p>
    <w:p>
      <w:r>
        <w:t>Der in Art. 20 Abs. 2 URG statuierte Vergütungsanspruch der Urheber wird mittels der GT 8 VII und der GT 9 VII konkretisiert. Die Tarife sind für die Gerichte grundsätzlich verbindlich.5 Art. 51 Abs. 1 URG sowie Ziff. 8.4 GT 8 VII und Ziff. 8.4 GT 9 VII sehen eine Auskunftspflicht der Nutzer gegenüber den Verwertungsgesellschaf- ten vor. Die Nutzer müssen demnach den Verwertungsgesellschaften alle Auskünfte erteilen, welche diese für die Gestaltung und die Anwendung der Tarife benötigen, soweit es ihnen zuzumuten ist. Ziff. 8.2 GT 8 VII und GT</w:t>
      </w:r>
    </w:p>
    <w:p>
      <w:r>
        <w:rPr>
          <w:b/>
        </w:rPr>
        <w:t>E. 4.3</w:t>
      </w:r>
    </w:p>
    <w:p>
      <w:r>
        <w:t>Die klägerische Behauptung, ihre Einschätzung sei aufgrund des fehlenden Eingangs des Erhebungsformulars erfolgt, blieb seitens des Beklagten un- bestritten. Da der Beklagte seine Auskunftspflicht verletzte, war die Kläge- rin berechtigt, den Beklagten einzuschätzen. Die Rechnungen der Klägerin (KB 4) wurden seitens des Beklagten nicht bestritten. Die Klägerin stützt ihre Vergütungsansprüche gegenüber dem Beklagten auf Ziff. 6.4.3 GT 8 VII und Ziff. 6.4.3 GT 9 VII ab (KB 4). Dabei handelt es sich um den Ansatz für "Rechtsanwälte, Notariate, Wirtschafts- und Unternehmensberatung, Immobilienverwaltungen, Vermögensverwal- ter, Treuhand, Revision und Inkasso". Dieser ist vorliegend einschlägig. Gestützt darauf und unter Berücksichtigung der Mehrwertsteuer (vgl. Ziff.</w:t>
      </w:r>
    </w:p>
    <w:p>
      <w:r>
        <w:rPr>
          <w:b/>
        </w:rPr>
        <w:t>E. 5</w:t>
      </w:r>
    </w:p>
    <w:p>
      <w:r>
        <w:t>Mit Klage vom 26. Oktober 2022 (elektronisch übermittelt am 28. Oktober 2022) stellte die Klägerin die folgenden Rechtsbegehren: " 1. Die beklagte Partei sei zu verpflichten, der Klägerin CHF 284.45 gemäss den Forderungen aus dem Jahre 2021 zu bezahlen, zzgl. Zins zu 5% seit 09.08.2022. 2. Unter Kosten- und Entschädigungsfolgen zuzüglich MwSt. zu Lasten der beklagten Partei."</w:t>
      </w:r>
    </w:p>
    <w:p>
      <w:r>
        <w:t>- 3 - Zur Begründung führte die Klägerin im Wesentlichen aus, es handle sich um Ansprüche aus unbezahlten Forderungen basierend auf der urheber- rechtlichen Vergütungspflicht des Beklagten, die auf dem Gemeinsamen Tarif 8 (Reprografie in der Industrie, im verarbeitenden Gewerbe und im Dienstleistungsbereich [GT 8 VII]) und dem Gemeinsamen Tarif 9 (Nutzung von geschützten Werken und geschützten Leistungen in elektronischer Form zu betrieblichen Eigengebrauch in der Industrie, im verarbeitenden Gewerbe und im Dienstleistungsbereich [GT 9 VII]) beruhen (vgl. KB 5).</w:t>
      </w:r>
    </w:p>
    <w:p>
      <w:r>
        <w:rPr>
          <w:b/>
        </w:rPr>
        <w:t>E. 5.1</w:t>
      </w:r>
    </w:p>
    <w:p>
      <w:r>
        <w:t>Die Klägerin verlangt zudem Verzugszinsen von 5 % auf Fr. 284.45 seit</w:t>
      </w:r>
    </w:p>
    <w:p>
      <w:r>
        <w:rPr>
          <w:b/>
        </w:rPr>
        <w:t>E. 5.2</w:t>
      </w:r>
    </w:p>
    <w:p>
      <w:r>
        <w:t>Der Schuldner hat Verzugszins von 5 % zu leisten, wenn er sich mit der Zahlung einer Geldschuld in Verzug befindet (Art. 104 Abs. 1 OR). Schuld- nerverzug setzt die Fälligkeit der Forderung voraus (Art. 102 Abs. 1 OR). Fällig ist eine Forderung dann, wenn deren Gläubiger die Leistung fordern und einklagen darf.7 Dabei gilt der Grundsatz, dass eine Forderung sofort fällig wird, sofern nichts anderes verabredet wurde oder sich aus der Natur des Rechtsverhältnisses ergibt (Art. 75 OR). 6 BGer 4A_39/2020 sowie 4A_41/2020 beide vom 17. April 2020 E. 2.2.3. Vgl. auch GASSER, Kopier- vergütung gemäss GT8 und GT9, sic! 2020, S. 475 ff. sowie SEMMELMANN, Einblick ins urheber- rechtliche Masseninkasso, sic! 2019, S. 675 ff. Kritisch demgegenüber SCHNEUWLY, Praxis der kol- lektiven Verwertung nach GT 8 VII und 9 VII auf dem Prüfstand, sic! 2017, S. 599 ff. 7 GAUCH/SCHLUEP/SCHMID, Schweizerisches Obligationenrecht Allgemeiner Teil, Band 1, 11. Aufl. 2020, N. 45; GAUCH/SCHLUEP/EMMENEGGER, Schweizerisches Obligationenrecht Allgemeiner Teil, Band 2, 11. Aufl. 2020, N. 2153 ff.</w:t>
      </w:r>
    </w:p>
    <w:p>
      <w:r>
        <w:t>- 8 - Der Schuldner einer fälligen Forderung gerät entweder durch Mahnung (Art. 102 Abs. 1 OR) oder, sofern die Parteien einen bestimmten Verfalltag verabredet haben, schon mit dessen Ablauf (Art. 102 Abs. 2 OR), in Ver- zug. Praxisgemäss gerät er auch mit Ablauf einer in einer Rechnung ge- setzten Zahlungsfrist, wie „zahlbar 30 Tage netto“, ohne weitere Mahnung in Verzug.8</w:t>
      </w:r>
    </w:p>
    <w:p>
      <w:r>
        <w:rPr>
          <w:b/>
        </w:rPr>
        <w:t>E. 5.3</w:t>
      </w:r>
    </w:p>
    <w:p>
      <w:r>
        <w:t>Für die Forderung von Fr. 284.45 (Vergütungsansprüche 2021 und 2022) verlangt die Klägerin einen einheitlichen Verzugszins ab 9. August 2022 und stellt damit auf den Tag nach Ablauf der mit Schreiben vom 29. Juli 2022 gesetzten Zahlungsfrist ab (KB 6). Da die entsprechenden Rechnun- gen innerhalb von 30 Tagen zahlbar waren (KB 4), fiel der Beklagte jeweils bereits ab dem 31. Tag in Verzug.9 Der Verzugsbeginn liegt folglich jeweils vor dem von der Klägerin geforderten Beginn des Zinsenlaufs. In Anwen- dung der Dispositionsmaxime von Art. 58 Abs. 1 ZPO sind der Klägerin die beantragten Verzugszinsen zuzusprechen. 6. Kosten Abschliessend sind die Kosten entsprechend dem Verfahrensausgang zu verlegen. Sie bestehen aus den Gerichtskosten und der Parteientschädi- gung (Art. 95 Abs. 1 ZPO). Die Klägerin obsiegt vollumfänglich. Entspre- chend sind die Prozesskosten antragsgemäss dem Beklagten aufzuerle- gen (Art. 106 Abs. 1 ZPO).</w:t>
      </w:r>
    </w:p>
    <w:p>
      <w:r>
        <w:rPr>
          <w:b/>
        </w:rPr>
        <w:t>E. 6.1</w:t>
      </w:r>
    </w:p>
    <w:p>
      <w:r>
        <w:t>Gerichtskosten Die Gerichtskosten bestehen einzig aus der Entscheidgebühr (Art. 95 Abs. 2 lit. b ZPO). Der Grundansatz für die Gerichtsgebühr beträgt bei ei- nem Streitwert von Fr. 284.45 (Zinsen werden nicht mitgerechnet [Art. 91 Abs. 1 Satz 2 ZPO]) gestützt auf § 7 Abs. 1 Zeile 1 VKD Fr. 931.30. Die Gerichtskosten sind ausgangsgemäss vom Beklagten zu tragen und wer- den mit dem von der Klägerin geleisteten Kostenvorschuss in gleicher Höhe verrechnet (Art. 111 Abs. 1 ZPO). Der Beklagte hat der Klägerin die Gerichtskosten von Fr. 931.30 direkt zu ersetzen (Art. 111 Abs. 2 ZPO).</w:t>
      </w:r>
    </w:p>
    <w:p>
      <w:r>
        <w:rPr>
          <w:b/>
        </w:rPr>
        <w:t>E. 6.2</w:t>
      </w:r>
    </w:p>
    <w:p>
      <w:r>
        <w:t>Parteientschädigung Die Parteientschädigung besteht aus den Kosten der berufsmässigen Ver- tretung der Parteien (Art. 95 Abs. 3 lit. b ZPO). Bei ihrer Festsetzung ist von den kantonalen Tarifen auszugehen (Art. 105 Abs. 2 i.V.m. Art. 96 ZPO). Gemäss § 3 ff. AnwT bemisst sich die Parteientschädigung grundsätzlich 8 AGVE 2003, S. 38; BSK OR I-WIDMER LÜCHINGER/WIEGAND, 7. Aufl. 2020, Art. 102 N. 9b; BK OR- WEBER/EMMENEGGER, 2. Aufl. 2020, Art. 102 N. 68 i.f.; KOLLER, Schweizerisches Obligationenrecht: Allgemeiner Teil, 4. Aufl. 2017, N. 55.32.</w:t>
      </w:r>
    </w:p>
    <w:p>
      <w:r>
        <w:rPr>
          <w:b/>
        </w:rPr>
        <w:t>E. 6.3</w:t>
      </w:r>
    </w:p>
    <w:p>
      <w:r>
        <w:t>Weder die Eingangsbestätigung vom 31. Oktober 2022 noch die Verfügung vom 11. November 2022 konnten dem Beklagten auf postalischem Weg zugestellt werden.</w:t>
      </w:r>
    </w:p>
    <w:p>
      <w:r>
        <w:rPr>
          <w:b/>
        </w:rPr>
        <w:t>E. 6.4</w:t>
      </w:r>
    </w:p>
    <w:p>
      <w:r>
        <w:t>Mit im SHAB publizierter Verfügung vom 6. Dezember 2022 setzte der Vi- zepräsident eine letzte, nicht erstreckbare Frist bis 16. Dezember 2022 zur Erstattung einer schriftlichen Antwort. Damit war die Androhung verbunden, dass bei erneuter Säumnis das Gericht einen Endentscheid fällt, sofern die Angelegenheit spruchreif ist, oder zur Hauptverhandlung vorlädt (vgl. Art. 223 ZPO), sowie, dass dem Entscheid die in der Klage behaupteten Tatsachenbehauptungen zugrunde gelegt würden, wenn diese nicht in der Klageantwort bestritten würden. Der Beklagte blieb auch innert der ange- setzten Nachfrist mit der Antwort säumig.</w:t>
      </w:r>
    </w:p>
    <w:p>
      <w:r>
        <w:rPr>
          <w:b/>
        </w:rPr>
        <w:t>E. 6.6</w:t>
      </w:r>
    </w:p>
    <w:p>
      <w:r>
        <w:t>GT 8 VII und Ziff. 6.7 GT 9 VII) sowie eines Zuschlages für den zusätz- lichen Verwaltungsaufwand (Ziff. 8.3 GT 8 VII und Ziff. 8.3 GT 9 VII) sind die Berechnungen der Klägerin für ihre Forderungen aus dem Jahr 2021 korrekt und der Klägerin ist der eingeklagte Betrag von total Fr. 284.45 zu- zusprechen. 5. Verzugszinsen</w:t>
      </w:r>
    </w:p>
    <w:p>
      <w:r>
        <w:rPr>
          <w:b/>
        </w:rPr>
        <w:t>E. 7</w:t>
      </w:r>
    </w:p>
    <w:p>
      <w:r>
        <w:t>Mit Verfügung vom 21. Dezember 2022 wurde die Streitsache an das Han- delsgericht überwiesen.</w:t>
      </w:r>
    </w:p>
    <w:p>
      <w:r>
        <w:t>- 4 - Das Handelsgericht zieht in Erwägung: 1. Zuständigkeit Das Gericht prüft die Prozessvoraussetzungen von Amtes wegen (Art. 60 ZPO). Darunter fallen insbesondere die örtliche und die sachliche Zustän- digkeit des angerufenen Gerichts (Art. 59 Abs. 2 lit. b ZPO). 1.1. Örtliche Zuständigkeit Gemäss Art. 10 Abs. 1 lit. a ZPO ist für die Beurteilung von Klagen gegen eine natürliche Person das Gericht an deren Wohnsitz zuständig, sofern das Gesetz nichts anderes vorsieht. Der Wohnsitz des Beklagten liegt in Q.. Die örtliche Zuständigkeit der aargauischen Gerichte ist damit gegeben. 1.2.Sachliche Zuständigkeit Aus Art. 5 Abs. 1 lit. a ZPO i.V.m. § 12 Abs. 1 lit. a EG ZPO ergibt sich die Zuständigkeit des Handelsgerichts für Streitigkeiten aus Urheberrecht. Folglich ist die sachliche Zuständigkeit des Handelsgerichts gegeben. Da der Streitwert die für die Zulässigkeit der Beschwerde in Zivilsachen an das Bundesgericht vorgeschriebene Höhe von Fr. 30'000.00 (Art. 74 Abs. 1 lit. b BGG) nicht erreicht, entscheidet das Handelsgericht in Dreierbeset- zung (§ 3 Abs. 6 lit. b GOG AG). 2. Versäumte Klageantwort Der Beklagte ist mit der Erstattung einer Klageantwort auch innert der ihm angesetzten Nachfrist gemäss Art. 223 Abs. 1 ZPO säumig geblieben. Bei zweimaliger Säumnis erlässt das Gericht entweder einen Endentscheid, sofern die Angelegenheit spruchreif ist, oder es lädt zur Hauptverhandlung vor (Art. 223 Abs. 2 ZPO). Die in der Klageschrift vorgebrachten Tatsachenbehauptungen sind unbe- stritten geblieben. Anerkannt sind damit die Tatsachen, nicht aber die klä- gerischen Rechtsbegehren. Bei erheblichen Zweifeln an der Richtigkeit ei- ner nicht streitigen Tatsache, d.h. bei fehlender Spruchreife, kann das Ge- richt nach Art. 153 Abs. 2 ZPO von Amtes wegen Beweis erheben. In die- sem Fall hat das Gericht in der Regel eine Verhandlung anzusetzen. Ist die Angelegenheit hingegen spruchreif, trifft das Gericht direkt einen En- dentscheid. Hierzu muss die Klage soweit geklärt sein, dass darauf man- gels Prozessvoraussetzungen nicht eingetreten oder sie durch Sachurteil erledigt werden kann. Dies setzt voraus, dass die Vorbringen der Klägerin nicht unklar, widersprüchlich, unbestimmt oder offensichtlich unvollständig sind, weil das Gericht gegebenenfalls seine Fragepflicht ausüben muss.1 1 Zum Ganzen: LEUENBERGER, in: Sutter-Somm/Hasenböhler/Leuenberger (Hrsg.), Kommentar zur Schweizerischen Zivilprozessordnung (ZPO), 3. Aufl. 2016, Art. 223 N. 5 und 7; BSK ZPO-WILLISE- GGER, 3. Aufl. 2017, Art. 223 N. 18 ff.</w:t>
      </w:r>
    </w:p>
    <w:p>
      <w:r>
        <w:t>- 5 - 3. Aktiv- und Passivlegitimation</w:t>
      </w:r>
    </w:p>
    <w:p>
      <w:r>
        <w:rPr>
          <w:b/>
        </w:rPr>
        <w:t>E. 9</w:t>
      </w:r>
    </w:p>
    <w:p>
      <w:r>
        <w:t>BK OR-WEBER/EMMENEGGER (Fn. 8), Art. 102 N. 70; VETTER/BUFF, Verzugszinsen bei «zahlbar in- nert 30 Tagen», SJZ 2019, S. 150 f. je m.w.N.</w:t>
      </w:r>
    </w:p>
    <w:p>
      <w:r>
        <w:t>- 9 - nach dem Streitwert. Dieser beträgt vorliegend Fr. 284.45. Die Grundent- schädigung beläuft sich somit gestützt auf § 3 Abs. 1 lit. a Ziff. 1 AnwT auf Fr. 1'172.60, womit eine Rechtsschrift und die Teilnahme an einer behörd- lichen Verhandlung abgegolten sind (§ 6 Abs. 1 AnwT). Dem eingesparten Aufwand der behördlichen Verhandlung wird praxisgemäss mit einem Ab- schlag von 20 % Rechnung getragen (§ 6 Abs. 3 AnwT). Hinzu kommt der pauschale Auslagenersatz von praxisgemäss rund 3 % (§ 13 AnwT). Die Parteientschädigung beläuft sich somit gerundet auf insgesamt Fr. 966.20. Dem klägerischen Antrag auf Zusprechung des Mehrwertsteuerzuschlags ist nicht zu entsprechen. Die Klägerin ist gemäss UID-Register10 selber mehrwertsteuerpflichtig. Sie kann die ihren Anwälten bezahlte Mehrwert- steuer als Vorsteuer von ihrer eigenen Mehrwertsteuerrechnung in Abzug bringen (Art. 28 MWSTG).11 Die Mehrwertsteuer stellt somit keinen zusätz- lichen Kostenfaktor dar und ist bei der Bemessung der Parteientschädigung deshalb nicht zu berücksichtigen. Das Handelsgericht erkennt: 1. In Gutheissung der Klage wird der Beklagte verpflichtet, der Klägerin Fr. 284.45 nebst Zins zu 5 % seit 9. August 2022 zu bezahlen. 2. Die Gerichtskosten von Fr. 931.30 werden dem Beklagten auferlegt und mit dem von der Klägerin geleisteten Kostenvorschuss in gleicher Höhe ver- rechnet. Der Beklagte hat der Klägerin den Betrag von Fr. 931.30 direkt zu ersetzen. 3. Der Beklagte hat der Klägerin eine Parteientschädigung in Höhe von Fr. 966.20 zu bezahlen.</w:t>
      </w:r>
    </w:p>
    <w:p>
      <w:r>
        <w:rPr>
          <w:b/>
        </w:rPr>
        <w:t>E. 10</w:t>
      </w:r>
    </w:p>
    <w:p>
      <w:r>
        <w:t>Vgl. https://www.uid.admin.ch/Detail.aspx?uid_id=CHE-108.028.505, zuletzt besucht am 22. De- zember 2022.</w:t>
      </w:r>
    </w:p>
    <w:p>
      <w:r>
        <w:rPr>
          <w:b/>
        </w:rPr>
        <w:t>E. 11</w:t>
      </w:r>
    </w:p>
    <w:p>
      <w:r>
        <w:t>Vgl. Merkblatt zur Frage der Berücksichtigung der Mehrwertsteuer bei der Bemessung der Partei- entschädigung der Gerichte des Kantons Aargau vom 11. Januar 2016: https://www.ag.ch/me- dia/kanton-aargau/jb/dokumente/obergericht/handelsgericht/merkblatt-mwst.pdf (zuletzt besucht am 22. Dezember 2022).</w:t>
      </w:r>
    </w:p>
    <w:p>
      <w:r>
        <w:t>- 10 - Zustellung an:  die Klägerin (Vertreter; zweifach mit Abrechnung)  den Beklagten (via öffentliche Bekanntmachung des Dispositivs im SHAB)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 Aarau, 9. Januar 2023 Handelsgericht des Kantons Aargau 2. Kammer Der Vizepräsident: Der Gerichtsschreiber: Vetter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