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HOR.2024.7 vom 23. Januar 2025</w:t>
      </w:r>
    </w:p>
    <w:p>
      <w:r>
        <w:t>Ag Handelsgericht, 2025-01-23, DE</w:t>
      </w:r>
    </w:p>
    <w:p>
      <w:r>
        <w:rPr>
          <w:b/>
        </w:rPr>
        <w:t xml:space="preserve">Quelle: </w:t>
      </w:r>
      <w:r>
        <w:t>https://mcp.opencaselaw.ch/entscheid/ag_handelsgericht_HOR.2024.7</w:t>
      </w:r>
    </w:p>
    <w:p>
      <w:r>
        <w:t>FR: AG_HANDELSGERICHT HOR.2024.7 du 23 janvier 2025</w:t>
      </w:r>
    </w:p>
    <w:p>
      <w:r>
        <w:t>IT: AG_HANDELSGERICHT HOR.2024.7 del 23 gennaio 2025</w:t>
      </w:r>
    </w:p>
    <w:p>
      <w:pPr>
        <w:pStyle w:val="Heading2"/>
      </w:pPr>
      <w:r>
        <w:t>Erwägungen</w:t>
      </w:r>
    </w:p>
    <w:p>
      <w:r>
        <w:rPr>
          <w:b/>
        </w:rPr>
        <w:t>E. 3</w:t>
      </w:r>
    </w:p>
    <w:p>
      <w:r>
        <w:t>Prozessgeschichte</w:t>
      </w:r>
    </w:p>
    <w:p>
      <w:r>
        <w:rPr>
          <w:b/>
        </w:rPr>
        <w:t>E. 3.1</w:t>
      </w:r>
    </w:p>
    <w:p>
      <w:r>
        <w:t>Rechtliches</w:t>
      </w:r>
    </w:p>
    <w:p>
      <w:r>
        <w:rPr>
          <w:b/>
        </w:rPr>
        <w:t>E. 3.1.1</w:t>
      </w:r>
    </w:p>
    <w:p>
      <w:r>
        <w:t>Formvorschriften Grundstückkaufvertrag Verträge, die von Gesetzes wegen an keine Form gebunden sind, sind grundsätzlich formfrei gültig, ausser es wurde vertraglich die Anwendung einer bestimmten Form vorbehalten (Art. 11 Abs. 1 und Art. 16 Abs. 1 OR). Art. 216 OR verlangt für Kaufverträge, die ein Grundstück zum Gegenstand haben, die öffentliche Beurkundung als qualifizierte Form; dies kommt so- mit einer Ausnahme vom Grundsatz der Formfreiheit obligatorischer Ver- träge gleich.17 Die gesetzlich vorgeschriebene Formvorschrift gilt auch für jede Abänderung des Vertrages, mit Ausnahme von ergänzenden Neben- bestimmungen, die mit der Urkunde nicht im Widerspruch stehen. Neben- bestimmungen, die überhaupt nicht vom Formzwang erfasst werden, blei- ben stets auch hinsichtlich der Abänderung formfrei. Bei einer formunwirk- samen Abänderung des Vertrages gilt das ursprünglich formwirksam Ver- einbarte.18 17 BSK OR I-FASEL (Fn. 1), Art. 216 N. 1. 18 Art. 12 OR; BSK OR I-SCHWENZER/FOUNTOULAKIS (Fn. 1), Art. 12 N. 5, 7; GAUCH/SCHLUEP/SCHMID, Schweizerisches Obligationenrecht Allgemeiner Teil, Band I, 11. Aufl. 2020, N. 579a.</w:t>
      </w:r>
    </w:p>
    <w:p>
      <w:r>
        <w:t>- 28 - Der Beurkundungszwang erfasst zum einen alle objektiv wesentlichen Punkte. Bei einem Grundstückkaufvertrag umfasst dies die Parteien, das verkaufte Grundstück sowie den Kaufpreis.19 Zum anderen werden auch alle subjektiv wesentlichen Punkte erfasst. Damit sind alle Vertragspunkte gemeint, von denen aufgrund des erklärten Parteiwillens oder, beim Fehlen einer solchen Erklärung, nach der sachlichen Wichtigkeit des Vertrags- punktes anzunehmen ist, dass eine Partei den Vertrag ohne Einigung dar- über nicht abgeschlossen hätte. Objektive Nebenabreden fallen nach der bundesgerichtlichen Rechtsprechung jedoch nur dann zufolge subjektiver Wesentlichkeit unter den Formzwang, wenn sie ihrer Natur nach unmittel- bar den Kaufrechtsvertrag betreffen, d.h. das Verhältnis von Leistung und Gegenleistung berühren.20 Nach Art. 115 OR kann eine Forderung durch Übereinkunft ganz oder zum Teil auch formlos aufgehoben werden, wenn zur Eingehung der Verbind- lichkeit eine Form erforderlich war.</w:t>
      </w:r>
    </w:p>
    <w:p>
      <w:r>
        <w:rPr>
          <w:b/>
        </w:rPr>
        <w:t>E. 3.1.2</w:t>
      </w:r>
    </w:p>
    <w:p>
      <w:r>
        <w:t>Auslegung</w:t>
      </w:r>
    </w:p>
    <w:p>
      <w:r>
        <w:rPr>
          <w:b/>
        </w:rPr>
        <w:t>E. 3.1.2.1</w:t>
      </w:r>
    </w:p>
    <w:p>
      <w:r>
        <w:t>Arten der Vertragsauslegung Um den Inhalt eines Vertrages zu ermitteln, legt das Gericht den Vertrags- inhalt aus. Dabei bestimmt sich der Inhalt eines Vertrages in erster Linie nach dem übereinstimmenden wirklichen Willen der Parteien (Art. 18 Abs. 1 OR). Für das tatsächliche Verständnis des Parteiwillens ist nicht al- lein der Wortlaut massgebend. Vielmehr indizieren die gesamten Um- stände, unter denen eine Erklärung abgegeben wurde, den inneren Willen der erklärenden Partei.21 Mitunter ergibt sich der innere Wille aus dem nachträglichen Parteiverhalten.22 Kann der tatsächliche Wille der Parteien nicht in einer dem anwendbaren Beweismass genügenden Art festgestellt werden, sind die Erklärungen der Parteien anhand des Vertrauensprinzips so auszulegen, wie sie nach ihrem Wortlaut und dem Zusammenhang sowie den gesamten Umständen ver- standen werden durften und mussten.23 Dabei hat das Gericht sich am Den- ken und Handeln vernünftiger und redlicher Vertragspartner sowie am We- sen und Zweck des Vertrages zu orientieren.24 19 BGE 135 III 295 E. 3.2; 112 II 330 E. 1a; 106 II 146 E. 1; SCHMID/STÖCKLI/KRAUSKOPF, Schweizeri- sches Obligationenrecht, Besonderer Teil, 3. Aufl. 2021, N. 574.</w:t>
      </w:r>
    </w:p>
    <w:p>
      <w:r>
        <w:rPr>
          <w:b/>
        </w:rPr>
        <w:t>E. 3.1.2.2</w:t>
      </w:r>
    </w:p>
    <w:p>
      <w:r>
        <w:t>Auslegungsmittel Primäres Auslegungsmittel bildet der Wortlaut. Der klare Wortlaut hat grundsätzlich Vorrang vor den weiteren Auslegungsmitteln, es sei denn, er erweise sich aufgrund anderer Vertragsbedingungen, dem von den Par- teien verfolgten Zweck oder weiterer Umstände als nur scheinbar klar.25 Bei der Auslegung ist grundsätzlich vom allgemeinen Sprachgebrauch auszu- gehen.26 Hat ein Wort in bestimmten Verkehrskreisen indessen eine beson- dere Bedeutung, so ist zu vermuten, dass die Parteien dieses Wort ent- sprechend seinem besonderen Sinn verstanden haben wollten. Der Wort- laut ist sodann stets im Zusammenhang, in dem er steht, als Teil eines Ganzen aufzufassen.27 Neben dem Wortlaut sind als ergänzende Auslegungsmittel im Rahmen ei- ner ganzheitlichen Auslegung die Umstände des Vertragsschlusses, die Entstehungsgeschichte des Vertrags, die Interessenslage der Parteien so- wie der Zweck der Vereinbarung zu berücksichtigen.28</w:t>
      </w:r>
    </w:p>
    <w:p>
      <w:r>
        <w:rPr>
          <w:b/>
        </w:rPr>
        <w:t>E. 3.1.3</w:t>
      </w:r>
    </w:p>
    <w:p>
      <w:r>
        <w:t>Würdigung</w:t>
      </w:r>
    </w:p>
    <w:p>
      <w:r>
        <w:rPr>
          <w:b/>
        </w:rPr>
        <w:t>E. 3.1.3.1</w:t>
      </w:r>
    </w:p>
    <w:p>
      <w:r>
        <w:t>Vereinbarung vom 4. März 2020 Die Parteien sahen in der Ziff. V des öffentlich beurkundeten Vertrages vom 4. März 2020 vor, dass sich die Beklagte dazu verpflichtet, eine Ersatzkäu- ferschaft zu finden, welche die Kaufobjekte zu den Bedingungen gemäss Ziff. II. bis IV. des Vertrages erwirbt, wenn die Genehmigung durch das De- partement Finanzen und Ressourcen, Landwirtschaft L._____ und die Ge- nehmigung durch das Departement Volkswirtschaft und Inneres nicht erteilt werden oder die Beklagte aus einem anderen Grund die Grundstücke nicht kaufen kann bzw. der Kaufvertrag nicht vollzogen werden kann (KB 25 Ziff. V./1. – V./3.). Mangels Behauptungen der Parteien kann der tatsächli- che, wirkliche Wille der Parteien hinsichtlich dieser Regelungen nicht fest- gestellt werden. Aufgrund der Formulierung: "Werden die Genehmigungen gemäss Ziff. V. 1. und 2. nicht erteilt oder kann die Käuferin aus einem anderen Grund die Grundstücke nicht kaufen bzw. kann der Kaufvertrag nicht vollzogen werden, so verpflichtet sich die Käuferin, eine Ersatzkäufer- schaft zu finden, welche die Kaufsobjekte zu den Bedingungen gemäss Ziff. II. bis IV. erwirbt", ist davon auszugehen, dass die Verpflichtung der Beklagten zur Suche einer Ersatzkäuferschaft zum einen dann entsteht, wenn die Genehmigungen gemäss Ziff. V./1. nicht erteilt werden. Aufgrund des Wortes "oder" ist davon auszugehen, dass dasselbe gilt, wenn die Käu- ferin aus einem anderen Grund die Grundstücke nicht kaufen kann. Was</w:t>
      </w:r>
    </w:p>
    <w:p>
      <w:r>
        <w:rPr>
          <w:b/>
        </w:rPr>
        <w:t>E. 3.1.3.2</w:t>
      </w:r>
    </w:p>
    <w:p>
      <w:r>
        <w:t>Zusatzvereinbarung vom 3. Mai 2022 Am 3. Mai 2022 haben die Parteien eine Zusatzvereinbarung unterzeich- net. Vorliegend ist fraglich, ob die Parteien mit dieser Zusatzvereinbarung wesentliche und somit vom Formzwang erfasste Vertragspunkte geregelt haben. Abweichend zur eben genannten Regelung wird in Ziff. 1 der Zusatzverein- barung (KB 32) Folgendes festgehalten: "D._____ hat sich im Einvernehmen mit A._____/B._____ entschlossen, an ihrer Stelle durch einen Makler einen Käufer/eine Käuferin suchen zu lassen. Sollte dabei gegenüber dem Preis in der Kaufverpflichtung ein ge- ringerer Erlös erzielt werden können, würde D._____ entweder die Kauf- verpflichtung selbst erfüllen oder die Differenz zwischen Preis gemäss Kaufverpflichtung und erzieltem Kaufpreis durch eine entsprechende Bar- zahlung ausgleichen." Diese Vertragsbestimmung ist so zu verstehen, dass die Parteien sich in gegenseitiger Übereinkunft darauf geeinigt haben, dass eine Ersatzkäufer- schaft gesucht wird. Der Zusatzvereinbarung kann nichts darüber entnom- men werden, ob damit die im Vertrag vom 4. März 2020 festgehaltenen Bedingungen weiterhin erfüllt sein müssen, oder ob ungeachtet dessen die Verpflichtung der Beklagten zur Suche einer Ersatzkäuferschaft besteht. Da vorliegend von keiner Partei beanstandet wird, dass die vorliegend er- folgte Suche nach einer Ersatzkäuferschaft nicht vertragskonform erfolgt sei, ist davon auszugehen, dass entweder eine Bedingung erfüllt war oder die Parteien übereingekommen sind, dass die diesbezügliche Regelung der Vereinbarung vom 4. März 2020 aufgehoben wird. Die Zusatzvereinba- rung definiert darüber hinaus die Optionen der Beklagten im Falle eines gegenüber dem Preis der Kaufverpflichtung vom 4. März 2020 niedrigeren Kaufangebots einer Drittpartei.</w:t>
      </w:r>
    </w:p>
    <w:p>
      <w:r>
        <w:t>- 31 - Bei der ersten Option wird das Kaufangebot der Drittpartei abgelehnt und die Beklagte kommt ihrer ursprünglichen Kaufverpflichtung nach. Sollte sich die Beklagte für diese Option entscheiden, erfolgt dies nach den öf- fentlich beurkundeten Konditionen des Vertrages vom 4. März 2020. Darin wurden die wesentlichen Vertragspunkte (die Parteien, die Liegenschaften als auch der Kaufpreis der Liegenschaften) formgültig festgehalten. Folg- lich führt diese Regelung der Zusatzvereinbarung zu keiner Modifikation der dieser Formpflicht unterliegenden Punkte. Wählt die Beklagte die zweite Option, nach welcher die Drittpartei die Lie- genschaften erwirbt, würde ein öffentlich beurkundeter Vertrag zwischen der Drittpartei und den Klägern notwendig, der die wesentlichen Vertrags- punkte eines Liegenschaftskaufs regelt. Dass die Beklagte einen allfälligen Mindererlös bei einem Drittverkauf zu entschädigen hat, haben die Parteien sowohl im öffentlich beurkundeten Vertrag vom 4. März 2020 als auch in der Zusatzvereinbarung vom 3. Mai 2022 festgehalten. Während im Ver- trag vom 4. März 2020 die Differenz zwischen dem effektiv erzielten Kauf- preis und den Fr. 3'500'000.00 erwähnt ist (KB 25 Ziff. V./3.), wird in der Zusatzvereinbarung die Differenz zwischen Preis gemäss Kaufverpflich- tung und erzieltem Kaufpreis festgehalten (KB 32 Ziff. 1). Es ist davon aus- zugehen, dass die Parteien bei beiden Verträgen von der Differenz zwi- schen dem effektiv erzielten Kaufpreis und dem Basiskaufpreis von Fr. 3'500'000.00 i.S. der Ziff. III.1 des Vertrages vom 4. März 2020 ausge- gangen sind. Es trifft zu, dass die isolierte Betrachtung der Bestimmung in Ziff. V./3. auf einen absoluten Wert in Höhe von Fr. 3'500'000.00 schliessen lässt. In der Gesamtbetrachtung der restlichen Vertragsbestimmungen ist allerdings davon auszugehen, dass die Formulierung Fr. 3'500'000.00 auf- grund der besseren Lesbarkeit gewählt wurde. Denn Sinn und Zweck die- ser Bestimmung ist es, dass die Kläger bei einem Verkauf an eine Ersatz- käuferschaft in gleicher Höhe entschädigt werden, wie wenn die Beklagte die Liegenschaften selbst erwerben würde. Diesfalls wäre der Kaufpreis nach der Ziff. III des Vertrages vom 4. März 2020 (KB 25) zu ermitteln. So- mit ist die Höhe des Kaufpreises im Rahmen der Zusatzvereinbarung nicht angepasst worden. Die Regelung darüber, von wem die Suche der Ersatzkäuferschaft erfolgt, betrifft keinen wesentlichen Vertragspunkt eines Grundstückkaufvertrages, zumal der Entscheid über die Annahme von Kaufangeboten auch nach der Regelung der Zusatzvereinbarung allein bei der Beklagten liegt (KB 32 Ziff. 5). Die genannten Vertragsklauseln unterliegen in der Konsequenz nicht dem Formzwang gemäss Art. 216 OR. Somit ist davon auszugehen, dass sich die Parteien am 3. Mai 2022 verbindlich darüber geeinigt haben, dass eine</w:t>
      </w:r>
    </w:p>
    <w:p>
      <w:r>
        <w:t>- 32 - Ersatzkäuferschaft von den Klägern gesucht wird, die Beklagte allerdings den Entscheid über die Annahme von Kaufangeboten trifft. 4. Leistungsstörung Die Kläger machen geltend, dass sich die Beklagte des Vertragsbruchs schuldig gemacht habe (Klage S. 19; Schlussvortrag Kläger S. 1).</w:t>
      </w:r>
    </w:p>
    <w:p>
      <w:r>
        <w:rPr>
          <w:b/>
        </w:rPr>
        <w:t>E. 3.2</w:t>
      </w:r>
    </w:p>
    <w:p>
      <w:r>
        <w:t>Antwort Mit Klageantwort vom 7. Mai 2024 (Postaufgabe: gleichentags) stellte die Beklagte innert Frist die folgenden Begehren: " 1. Die Klage sei abzuweisen. 2. Alles unter Kosten- und Entschädigungsfolgen zuzüglich gesetzlich ge- schuldeter Mehrwertsteuer zulasten der Kläger unter solidarischer Haft- barkeit." Als Begründung wurde hauptsächlich ausgeführt, die Vereinbarungen vom</w:t>
      </w:r>
    </w:p>
    <w:p>
      <w:r>
        <w:rPr>
          <w:b/>
        </w:rPr>
        <w:t>E. 3.3</w:t>
      </w:r>
    </w:p>
    <w:p>
      <w:r>
        <w:t>Verzicht Instruktions- und Vermittlungsverhandlung</w:t>
      </w:r>
    </w:p>
    <w:p>
      <w:r>
        <w:rPr>
          <w:b/>
        </w:rPr>
        <w:t>E. 3.3.1</w:t>
      </w:r>
    </w:p>
    <w:p>
      <w:r>
        <w:t>Mit Eingabe vom 28. Mai 2024 teilte die Beklagte mit, sie sei an einer In- struktions- und Vermittlungsverhandlung nach dem ersten Schriftenwech- sel interessiert.</w:t>
      </w:r>
    </w:p>
    <w:p>
      <w:r>
        <w:rPr>
          <w:b/>
        </w:rPr>
        <w:t>E. 3.3.2</w:t>
      </w:r>
    </w:p>
    <w:p>
      <w:r>
        <w:t>Mit Eingabe vom 4. Juni 2024 verzichteten die Kläger auf die Durchführung einer Instruktions- und Vermittlungsverhandlung nach dem ersten Schrif- tenwechsel.</w:t>
      </w:r>
    </w:p>
    <w:p>
      <w:r>
        <w:rPr>
          <w:b/>
        </w:rPr>
        <w:t>E. 3.4</w:t>
      </w:r>
    </w:p>
    <w:p>
      <w:r>
        <w:t>Zweiter Schriftenwechsel Im zweiten Schriftenwechsel (Replik vom 13. August 2024; Duplik vom 10. September 2024) hielten die Parteien an ihren Rechtsbegehren fest.</w:t>
      </w:r>
    </w:p>
    <w:p>
      <w:r>
        <w:rPr>
          <w:b/>
        </w:rPr>
        <w:t>E. 3.5</w:t>
      </w:r>
    </w:p>
    <w:p>
      <w:r>
        <w:t>Beweisverfügung Mit Verfügung vom 2. Oktober 2024 wurde eine Beweisverfügung erlassen und es wurde den Parteien Frist bis zum 17. Oktober 2024 angesetzt, um zu erklären, ob sie auf eine Hauptverhandlung und schriftliche Schlussvor- träge verzichten. Zudem wurde die Sache ans Gesamtgericht überwiesen.</w:t>
      </w:r>
    </w:p>
    <w:p>
      <w:r>
        <w:rPr>
          <w:b/>
        </w:rPr>
        <w:t>E. 3.6</w:t>
      </w:r>
    </w:p>
    <w:p>
      <w:r>
        <w:t>Mit Eingabe vom 10. Oktober 2024 teilten die Kläger mit, auf die Durchfüh- rung einer Hauptverhandlung zu verzichten. Die Beklagte erklärte mit Ein- gabe vom 16. Oktober 2024, ebenfalls auf eine Hauptverhandlung zu ver- zichten.</w:t>
      </w:r>
    </w:p>
    <w:p>
      <w:r>
        <w:rPr>
          <w:b/>
        </w:rPr>
        <w:t>E. 3.7</w:t>
      </w:r>
    </w:p>
    <w:p>
      <w:r>
        <w:t>Mit Verfügung vom 17. Oktober 2024 setzte der Vizepräsident den Parteien Frist zur Erstattung eines Schlussvortrages bis zum 7. November 2024.</w:t>
      </w:r>
    </w:p>
    <w:p>
      <w:r>
        <w:rPr>
          <w:b/>
        </w:rPr>
        <w:t>E. 3.8</w:t>
      </w:r>
    </w:p>
    <w:p>
      <w:r>
        <w:t>Mit Eingaben vom 5. November 2024 (Klägerin) bzw. 6. November 2024 (Beklagte) reichten die Parteien ihre schriftlichen Schlussvorträge ein.</w:t>
      </w:r>
    </w:p>
    <w:p>
      <w:r>
        <w:rPr>
          <w:b/>
        </w:rPr>
        <w:t>E. 3.9</w:t>
      </w:r>
    </w:p>
    <w:p>
      <w:r>
        <w:t>Mit Verfügung vom 7. November 2024 wurden den Parteien die Schluss- vorträge jeweils zur Kenntnisnahme zugestellt. Das Handelsgericht zieht in Erwägung: 1. Prozessvoraussetzungen Die örtliche und die sachliche Zuständigkeit des angerufenen Gerichts ge- hören zu den Prozessvoraussetzungen (Art. 59 Abs. 2 lit. b ZPO), welche von Amtes wegen zu prüfen sind (Art. 60 ZPO).</w:t>
      </w:r>
    </w:p>
    <w:p>
      <w:r>
        <w:t>- 10 - 1.1. Örtliche Zuständigkeit Die Beklagte hat sich vorbehaltlos i.S.v. Art. 18 ZPO auf das Verfahren ein- gelassen (Antwort Rz. 2). Ohnehin handelt es sich vorliegend um eine Klage aus Vertrag. Gemäss Art. 31 ZPO ist bei Klagen aus Vertrag das Gericht am Sitz der beklagten Partei oder am Ort, an dem die charakteris- tische Leistung zu erbringen ist, zuständig. Die Beklagte hat ihren Sitz in V._____ (KB 2). Demnach sind die Gerichte des Kantons Aargau zustän- dig. 1.2. Sachliche Zuständigkeit Der Kanton Aargau hat in § 12 Abs. 1 lit. a EG ZPO von der Möglichkeit gemäss Art. 6 Abs. 1 ZPO Gebrauch gemacht, ein Fachgericht zu bezeich- nen, welches als einzige kantonale Instanz für handelsrechtliche Streitig- keiten zuständig ist (Handelsgericht). Nach Art. 6 Abs. 2 ZPO gilt eine Strei- tigkeit als handelsrechtlich, wenn (a) die geschäftliche Tätigkeit mindestens einer Partei betroffen ist, (b) gegen den Entscheid die Beschwerde in Zivil- sachen an das Bundesgericht offen steht und (c) die Parteien im schweize- rischen Handelsregister oder in einem vergleichbaren ausländischen Re- gister eingetragen sind. Ist nur die beklagte Partei im schweizerischen Han- delsregister oder in einem vergleichbaren ausländischen Register eingetra- gen, sind aber die übrigen Voraussetzungen erfüllt, so hat die klagende Partei die Wahl zwischen dem Handelsgericht und dem ordentlichen Ge- richt (Art. 6 Abs. 3 ZPO). Vorliegend sind die Kläger nicht im Handelsregister eingetragen. Damit bei dieser Ausgangslage das Handelsgericht sachlich zuständig ist, muss die Beklagte im schweizerischen Handelsregister eingetragen sein, was vorlie- gend der Fall ist (KB 2). Ferner betrifft die streitgegenständliche Forderung die geschäftliche Tätigkeit der Beklagten (Klage Ziff. A.2; Antwort Rz. 2). Zudem übersteigt der Streitwert in der Höhe von Fr. 845'605.00 den ge- mäss Art. 74 Abs. 1 lit. b i.V.m. Art. 51 ff. BGG für die Zulässigkeit der Be- schwerde in Zivilsachen vorausgesetzten Streitwert. Somit ist das Handels- gericht auch sachlich zuständig. 2. Unwirksamkeit der Vereinbarung vom 4. März 2020 2.1. Ausgangslage Vorliegend ist unbestritten, dass die Parteien sowohl am 4. März 2020 eine Vereinbarung betreffend Begründung einer Kaufverpflichtung (KB 25) als auch am 3. Mai 2022 eine Zusatzvereinbarung (KB 32) unterzeichnet ha- ben. Die Beklagte macht geltend, dass sowohl der öffentlich beurkundete Vertrag über die Kaufverpflichtung vom 4. März 2020 sowie die Zusatzver- einbarung vom 3. Mai 2022 sittenwidrig (verpönte Kommerzialisierung ei- ner Rechtsposition) und somit nichtig seien.</w:t>
      </w:r>
    </w:p>
    <w:p>
      <w:r>
        <w:t>- 11 - 2.2. Parteibehauptungen 2.2.1. Beklagte Die Beklagte behauptet, dass sie beim Übernahmepreis der klägerischen Liegenschaften auf die fachlich begründete Marktwerteinschätzung von O._____ von Fr. 2'760'000.00 habe abstellen wollen, während die Kläger einen Kaufpreis von Fr. 3'500'000.00 vorgebracht hätten. Die Preisvorstel- lungen der Parteien seien somit ziemlich genau Fr. 700'000.00 auseinan- dergelegen. Von der Beklagten wird bestritten, dass die Kläger jemals gel- tend gemacht hätten, dass das Resultat der Schätzung von O._____ nicht massgeblich sei. Der von Seiten der Kläger geforderte Betrag in Höhe von Fr. 3'500'000.00 habe keinen Zusammenhang mit dem Marktwert der Lie- genschaft. Ansonsten wären nach der beklagtischen Auffassung auch keine spezifischen Bemühungen, wie die Koordinationssitzung vom 24. März 2022, zur Erreichung eines Preises in Höhe von Fr. 3'500'000.00, notwendig gewesen. Dies insbesondere auch in Anbetracht dessen, dass zwischen 2017 und 2023 der Schweizerische Wohnimmobilienpreisindex des Bundesamtes für Statistik für Einfamilienhäuser in intermediären Ge- meinden von 93 auf 116 Punkten angestiegen sei und damit eine massive Preissteigerung bei Einfamilienhäusern stattgefunden habe. Die Kläger hätten ihre Kaufpreishöhe dadurch begründet, dass der 'Verkehrs- wert/Liebhaberwert' eher bei Fr. 4'000'000.00 und nicht bei Fr. 3'000'000.00 liege. Nach der beklagtischen Auffassung sei dieser klä- gerseitig vorgebrachte Liebhaberwert in Höhe von Fr. 4'000'000.00 nicht ansatzweise belegt oder ausgewiesen. Insbesondere handle es sich beim Umschwung um einen objektiv bewertbaren Wertfaktor, und somit nicht um ein Element, welches zu einem Liebhaberwert führen könne. Sodann spiele ein Liebhaberwert ohnehin keine Rolle, da allgemein bekannt sei, dass ide- elle Komponenten nicht Bestandteil einer Marktbeurteilung seien und des- halb auch bei Verkäufen nicht entschädigt bzw. gelöst werden könnten. So sei auch der tatsächlich realisierte Verkaufspreis Fr. 550'000.00 tiefer aus- gefallen als der im Rahmen der Kaufverpflichtung festgehaltene Betrag in Höhe von Fr. 3'500'00.00. Somit handle es sich bei einem Preis in Höhe von Fr. 2'950'000.00 um einen auf dem Markt Ende 2023 erzielbaren Preis und damit um den Marktpreis der Liegenschaften. Der klägerisch geltend gemachte Liegenschaftswert in Höhe von Fr. 3'500'000.00 sei somit nach- weislich falsch (Antwort Rz. 14, 22 – 26, 35, 37, 42, 47 – 50, 52, 63, 72, 91; Duplik Rz. 10, 12, 15, 28). Dass niemand bereit gewesen sein soll – trotz Bemühungen einer professionellen Maklerin während 18 Monaten – einen Preis in Höhe von Fr. 3'500'000.00 zu bezahlen, erstaune nach der beklag- tischen Auffassung nicht. Sowohl gemäss der Marktpreiseinschätzung von O._____ als auch der marktorientierten Preiseinschätzung von K._____ liege der klägerisch verlangte Preis von Fr. 3'500'000.00 weit über dem Marktpreis. Nach der Einschätzung von K._____ habe der Verkehrswert bei Fr. 2'969'462.00 gelegen. Daraus sei eine realistische Kaufpreisspanne von Fr. 2'560'000.00 bis 3'050'000.00 abgeleitet worden. Dass die Kläger zu hohe Preisvorstellungen gehabt hätten, habe sodann auch M._____,</w:t>
      </w:r>
    </w:p>
    <w:p>
      <w:r>
        <w:t>- 12 - Verantwortlicher der Maklerin der K._____, in der E-Mail vom 20. Oktober 2022 mitgeteilt (Antwort Rz. 38, 39, 52; Duplik Rz. 10). Nach der beklagtischen Auffassung sei ferner die Blockierung der Planung der Beklagten und nicht etwa die Geltendmachung einer Entwertung der Parzellen oder eine Anpassung des Bauvorhabens der Beklagten die Ab- sicht der Kläger gewesen. Die Beklagte macht geltend, dass die Einwen- dungen der Kläger gegen die Änderung der Teilnutzungsplanung in der Sa- che unbegründet gewesen seien. Die Aussichtslosigkeit der in den Einwen- dungen erhobenen Rügen ergebe sich aus den differenzierten Entgegnun- gen der Beklagten gemäss KB 7. Nach der beklagtischen Auffassung hät- ten die Kläger primär eigene finanzielle Interessen verfolgt. Dies ergebe sich unter anderem daraus, dass die Planung vom Regierungsrat vorbe- haltlos als rechtmässig genehmigt und der Beklagten basierend auf dieser Planung auch die Abbaubewilligung erteilt worden sei. So zeige die Ertei- lung der Abbaubewilligung, dass das konkrete Abbauprojekt in jeder Hin- sicht den massgebenden raumplanungs-, bau- und umweltrechtlichen Bestimmungen entspreche (Antwort Rz. 7 – 9, 11 – 12, 16, 18, 32, 44, 58, 60 – 61, 68 ,77; Duplik Rz. 5, 41 – 42; Schlussvortrag Beklagte Rz. 2). Allfällige rechtmässige Einwirkungen im Rahmen der umweltrechtlichen Planungswerte, die sich aus rechtmässigen Planungen auf benachbarten Grundstücken ergeben würden, seien von jedermann entschädigungslos zu dulden und würden nicht zu (erheblichen) Wertminderungen führen. Die Beklagte bestreitet, dass sie zu irgendeinem Zeitpunkt schriftlich anerkannt habe, dass die Erweiterung des Abbaugebietes die Liegenschaften der Klä- ger entwerte. Den Klägern sei es nicht um den Schutz vor Immissionen gegangen, denn ansonsten hätten sie die Planung gerichtlich angefochten. Die Änderung der Nutzungsplanung betreffe die Grundstücke der Kläger nicht und führe nicht zu (von Dritten) zu entschädigenden Wertverlusten auf den Parzellen der Kläger. Dies sei aus dem Umstand ersichtlich, dass die Höhe der Entschädigung offenbar nicht davon abhängig gemacht wor- den sei, ob die geplante Erweiterung des Abbaugebietes lediglich in redu- zierter Form – und damit noch weiter weg von den streitgegenständlichen Liegenschaften – oder in vollem Umfang genehmigt würde. Die Kläger hät- ten eine irgendwie geartete finanzielle Beeinträchtigung nicht dargetan. Das konkrete Abbauvorhaben sei nicht mit übermässigen Immissionen auf benachbarte Grundstücke verbunden. Zumindest würden die mit dem Steinbruch einhergehenden Erschütterungen und Immissionen durch das erweiterte Abbauvorhaben der Beklagten nicht stärker ausfallen, als dies vor der Planungsänderung der Fall gewesen sei. Der Steinbruch wäre auch nach der Erweiterung nicht von den streitgegenständlichen Liegenschaften sichtbar. Während des Abbaus werde der Steinbruch zudem durch einen Sichtschutz-Streifen (Büsche) abgeschirmt. Sodann sei zu beachten, dass der Abbau im Erweiterungsgebiet, das den Liegenschaften der Kläger am nächsten liege, rund zehn Jahre dauern würde und damit von</w:t>
      </w:r>
    </w:p>
    <w:p>
      <w:r>
        <w:t>- 13 - vorübergehender Natur sei (Antwort Rz. 9, 16, 43 – 44, 46, 59, 68, 70 – 71, 78, 80, 86; Duplik Rz. 8, 10, 13, 22, 25, 29, 34, 40, 38). Von der Beklagten wird bestritten, dass die Kläger seit längerer Zeit wegen der durch die Sprengungen ausgelösten Erschütterungen ihrer Liegenschaften Probleme mit der Beklagten gehabt hätten (Duplik Rz. 38). Von der Beklagten wird zudem bestritten, dass die streitgegenständliche Liegenschaft 100 m vom Rand des geplanten Abbaugebietes liege. Vielmehr betrage die Differenz 200 m (Antwort Rz. 17; Duplik Rz. 13). Sodann hätten die Kläger nach der beklagtischen Auffassung schon im Zeitpunkt der Verhandlungen die Absicht gehabt, die Liegenschaften in X._____ – unabhängig vom Abbauvorhaben der Beklagten – möglichst rasch zu veräussern. So hätten die Kläger die Kaufverpflichtung ausgelöst, bevor sie über das Ausmass von allfälligen Immissionen überhaupt hätten Kenntnis haben können (Antwort Rz. 34, 53; Duplik Rz. 29). Die Beklagte führt weiter aus, dass die Kläger ihre grundsätzlich nicht marktfähigen Investitionen in ihre Liegenschaft liquidieren wollten. Diese von der Klägerschaft geltend gemachten und in KB 4 ausgewiesenen Investitionen in die streitgegenständliche Liegenschaft werden von der Beklagten bestritten. Die Kläger würden ihre behaupteten Investitionsbeiträge nicht nachweisen können. So sei insbesondere in KB 3 der Preis, zu dem die Kläger das Grundstück im Jahr 2001 erworben haben sollen, abgedeckt. Die Kläger hätten erkannt, dass sich die gestellte Forderung von rund Fr. 700'000.00 angesichts des gutachterlich ermittelten Verkehrswerts nicht mit einem Minderwert der Liegenschaften aufgrund der Planung des erweiterten Abbaugebiets begründen lasse, was auch aus dem Bericht der O._____ ersichtlich sei. Aus diesem Grund hätten sie explizit den wirtschaftlichen Wert des Verzichts auf jahrelange Rechtsverfahren (für die Beklagte) geltend gemacht und diesen eingefordert. So hätten die Kläger der Beklagten den Verzögerungsschaden explizit mit E-Mail vom 19. März 2019 angedroht. Die Kläger hätten darin geäussert, dass die Beklagte die geforderte Entschädigung als Gegenleistung für den Verzicht auf die jahrelangen Rechtsverfahren einpreisen könne. Auch bestätige der Rechtsvertreter der Kläger mit seinen Aussagen in der Replik, das Einwendungsrecht sittenwidrig kommerzialisiert zu haben. Insbesondere gestehe die Gegenpartei mit der Aussage, dass es nie Thema gewesen sei, die Liegenschaft zum Marktwert zu verkaufen, ein, dass sie einen über dem Marktpreis liegenden Preis von der Beklagten verlangt hätten. Die Kläger hätten bewusst den durch die angedrohten Rechtsmittel bei der Beklagten drohenden Verzögerungsschaden in verpönter Weise kommerzialisiert. Von einer Verfolgung schützenswerter Interessen durch die Kläger könne keine Rede sein (Antwort Rz. 15, 28, 32, 42, 55 – 58, 64 – 65, 67, 76 – 77, 83; Duplik Rz. 17 – 18, 21 – 22, 24, 27, 30 – 31, 39; Schlussvortrag Beklagte Rz. 5, 7 – 9, 12 – 15).</w:t>
      </w:r>
    </w:p>
    <w:p>
      <w:r>
        <w:t>- 14 - Insgesamt Fr. 700'000.00 hätte die Beklagte sodann auch während zehn Jahren unter dem Titel einer Inkonvenienzentschädigung gezahlt, um den Klägern das Einwendungsrecht abzukaufen. Dies hätte somit wirtschaftlich den gleichen Effekt gehabt wie der Verkauf der klägerischen Liegenschaf- ten zum Preis von Fr. 3'500'000.00 anstelle des Marktpreises von Fr. 2'760'000.00 gemäss O._____. Dass eine jährliche Entschädigung in Höhe von Fr. 70'000.00 nicht unter dem Titel «Inkonvenienzentschädi- gung» begründet werden könne, sei offenkundig. Sie liege im Bereich des gesamten hypothetischen jährlichen Mietzinsertrages, den die Kläger aus der Vermietung ihrer Liegenschaften hätten erzielen können. Gerade die- ses Vorgehen zeige, dass es den Klägern darum gegangen sei, ihre Posi- tion als Einwender unrechtmässig zu kommerzialisieren. Auch zeige es, dass die Forderung wirtschaftlich keine Grundlage habe (Antwort Rz. 29 – 30, 82; Duplik Rz. 7). Von der Beklagten wird weiter geltend gemacht, dass der Vertragsentwurf vom 27. November 2018 von den Parteien nicht unterzeichnet worden sei. Aus der Präambel könnten die Kläger somit nichts ableiten, weil diese nicht Vertragsinhalt der unterzeichneten Vereinbarung vom 4. März 2020 dar- stelle. Zudem entstamme er der einseitigen Instruktion des Notars durch die Kläger und sei demnach einseitig aufgesetzt worden und sei nicht von den Parteien einvernehmlich erarbeitet worden. Er könne auch nicht als Schadloshaltungskonzept bezeichnet werden (Antwort Rz. 75; Duplik Rz. 6, 17). Die Beklagte behauptet sodann, dass sie sich aufgrund der klägerischen Ankündigung der jahrelangen Verzögerung des Abbauprojekts gezwungen gesehen habe, dem Vertrag über die Begründung einer Kaufverpflichtung zuzustimmen. Dies, obwohl der vereinbarte Kaufpreis für die Liegenschaf- ten zu rund einem Viertel über dem von O._____ ermittelten Marktwert ge- legen habe und die von den Klägern einseitig festgesetzte Forderung von der Beklagten als zu hoch und zu keinem Zeitpunkt als gerechtfertigt emp- funden worden sei. So würden insbesondere die Ausführungen von I._____ im Rahmen der E-Mail vom 20. Mai 2019 aufzeigen, dass der Preis in Höhe von Fr. 3'500'000.00 nicht den Verhandlungsintentionen der Beklagten ent- sprochen habe (Antwort Rz. 33, 36; Duplik Rz. 16, 18 – 19, 32). Zudem äussert die Beklagte, dass die Kläger im ganzen Prozess der Verhandlun- gen und der Vertragsunterzeichnung am 4. März 2020 anwaltlich vertreten gewesen seien, während dies die Beklagte nicht gewesen sei. Deshalb hätte der klägerische Rechtsvertreter um die Rechtsprechung betreffend verpönte Kommerzialisierung einer Rechtsposition im Zusammenhang mit baurechtlichen Einsprachen und Einwendungen wissen müssen (Antwort Rz. 23; Duplik Rz. 9).</w:t>
      </w:r>
    </w:p>
    <w:p>
      <w:r>
        <w:t>- 15 - 2.2.2. Kläger Die Kläger behaupten, dass sie gegen die im April 2019 öffentlich auflie- gende Änderung des Teilnutzungsplans "Abbaugebiete" am 16. April 2019 Einwendungen erhoben hätten (Klage Ziff. B.I.3). Dass die Kläger nach Un- terzeichnung der Vereinbarung ihre Opposition gegen den erweiterten Nut- zungsplan und die Abbaubewilligung eingestellt hätten, hänge damit zu- sammen, dass sie sich im Gegensatz zur Beklagten getreulich an ihre Ver- pflichtungen des geschlossenen Vertrages gehalten hätten. Somit seien die Ausführungen über die Rechtmässigkeit des Planungsverfahrens der Beklagten irrelevant. Ungeachtet dessen übergehe die Beklagte, dass sie Einwendungen Dritter gegen die Änderung der Nutzungsplanung wie auch gegen die Baubewilligung teilweise habe anerkennen und zusätzliche Auf- lagen habe akzeptieren müssen (Replik S. 2 – 4). Nach der klägerischen Auffassung sei der Bericht des Unternehmens O._____ mangelhaft, weil es den Liebhaber-Aspekt für die Liegenschaft mit grossem Garten und Umschwung völlig ausser Acht lasse. Wer Zeit habe und warten könne, bis der geeignete Liebhaber auftauche, werde auch seine Preisvorstellungen verwirklichen können. Die Kläger hätten sofort geltend gemacht, dass das Resultat der Schätzung von O._____ nicht massgeblich sei. Ohnehin hätten sie letztlich die Liegenschaft für einen Preis von Fr. 2'950'000.00 und somit 200'000.00 mehr verkaufen können (Klage Ziff. B.I.7; Replik S. 4, 7 – 8). Die Kläger äussern, dass sie das Anwesen mit grossem persönlichem und finanziellem Engagement im Laufe der Jahre zu einem eigentlichen Kleinod entwickelt hätten (Klage Ziff. B.I.1). Daher hätten sie von der Beklagten zumindest ihre Gesamtinvestitionen ersetzt haben wollen (Klage Ziff. B.I.7). Die geltend gemachten Investitionen seien von der Beklagten während der Verhandlungen nie in Zweifel gezogen worden. Dies erst jetzt zu tun, sei seltsam (Replik S. 3). Hinsichtlich der Marktpreisentwicklung sei auch noch daran zu erinnern, dass sich nach Vertragsschluss die Zinssituation verändert habe, was nicht voraussehbar gewesen sei. Der mit dem Verkauf beauftragte Makler habe zu Beginn des Verkaufsprozesses darauf hingewiesen und die Erwartun- gen der Kläger gedämpft (Replik S. 8). Von den Klägern wird bestritten, dass sie mit ihrer Opposition von Anfang an primär eigene finanzielle Interessen verfolgt hätten (Replik S. 2). Die geplante Erweiterung komme nach der klägerischen Auffassung bis rund 100 m an die streitgegenständliche Liegenschaft heran. Das Grundstück der Kläger sei die durch die Erweiterung Ost am meisten betroffene Lie- genschaft, namentlich durch Spreng-, Lärm- und Staubimmissionen. Die Kläger hätten die Beklagte auch explizit mit Schreiben vom 18. Oktober 2019 auf die bereits aus dem laufenden Abbau bestehenden enormen Lärmbelästigungen hingewiesen. Auch das Verlegen der Abbaukante und</w:t>
      </w:r>
    </w:p>
    <w:p>
      <w:r>
        <w:t>- 16 - des Windschutzgürtels führe zu einer unschönen direkten Sicht auf den Abbauperimeter. Daher erleide die Liegenschaft einen erheblichen Wert- verlust. Es entspräche der Lebenserfahrung und müsse nicht bewiesen werden, dass die Erweiterung eines Gesteinsabbaugebietes bis auf knapp 200 m an eine bestehende Wohnliegenschaft deren Wert mit Sicherheit vermindere (Klage Ziff. B.I.2; Replik S. 3 – 4, 6, 8; Schlussvortrag Kläger S. 2). Die Kläger führen ferner aus, dass anhand des dokumentierten Ver- handlungsinhalts eindeutig sei, dass die von der Beklagten beabsichtigte Erweiterung des Abbaugebietes eine erhebliche Beeinträchtigung des An- wesens der Kläger zur Folge habe. Von Seiten der Kläger sei dies mit E- Mail vom 8. März 2018 an I._____, damaliger Vertreter der Beklagten, fest- gehalten worden. Von Seiten der Beklagten sei dies in ihrer Antwort vom</w:t>
      </w:r>
    </w:p>
    <w:p>
      <w:r>
        <w:rPr>
          <w:b/>
        </w:rPr>
        <w:t>E. 4</w:t>
      </w:r>
    </w:p>
    <w:p>
      <w:r>
        <w:t>März 2020 sowie vom 3. Mai 2022 seien nichtig, da die Kläger in unsitt- licher Weise ihre Rechtsposition kommerzialisiert hätten.</w:t>
      </w:r>
    </w:p>
    <w:p>
      <w:r>
        <w:t>- 9 -</w:t>
      </w:r>
    </w:p>
    <w:p>
      <w:r>
        <w:rPr>
          <w:b/>
        </w:rPr>
        <w:t>E. 4.1</w:t>
      </w:r>
    </w:p>
    <w:p>
      <w:r>
        <w:t>Parteibehauptungen</w:t>
      </w:r>
    </w:p>
    <w:p>
      <w:r>
        <w:rPr>
          <w:b/>
        </w:rPr>
        <w:t>E. 4.1.1</w:t>
      </w:r>
    </w:p>
    <w:p>
      <w:r>
        <w:t>Kläger Die Kläger behaupten, sie hätten Anspruch auf Ersatz des Mindererlöses sowie der für den Makler ausgelegten Kosten. Ausgangspunkt für die Be- rechnung des Mindererlöses sei der mit der Kaufverpflichtung vereinbarte Kaufpreis von Fr. 3'500'000.00 zuzüglich der Teuerung. Zudem hätten die Kläger Anspruch auf Verzugszins von 5 % auf der gesamten Schuldsumme ab Verzug bis zum Eingang des Kaufpreises. Die Beklagte sei spätestens 18 Monate nach erster Aufforderung zur Erfüllung in Verzug geraten (Klage S. 19). Es sei auf die folgende Aufstellung abzustellen (Klage S. 20): […] Hingegen seien der Beklagten die Einsparungen der Kläger bei Notar und Grundbuch wegen des tieferen Kaufpreises gutzuschreiben. Dabei handle es sich bei der Notariatsgebühr um Fr. 600.00 und bei der Grundbuchge- bühr um Fr. 2'200.00 (Klage S. 19 f.). Von den Klägern wird bestritten, dass sie sich entgegenhalten müssten, dass sie nicht den bestmöglichsten Preis erzielt hätten. Dies stünde auch im Widerspruch dazu, dass die Beklagte während des ganzen Prozesses behauptet hätte, der wahre Verkehrswert der Liegenschaft liege bei Fr. 2'760'000.00 (Replik S. 9; Schlussvortrag Kläger S. 1 – 2).</w:t>
      </w:r>
    </w:p>
    <w:p>
      <w:r>
        <w:rPr>
          <w:b/>
        </w:rPr>
        <w:t>E. 4.1.2</w:t>
      </w:r>
    </w:p>
    <w:p>
      <w:r>
        <w:t>Beklagte Die Beklagte macht geltend, dass sich die Kläger mit Blick auf die Scha- denminderungspflicht entgegenhalten müssten, weshalb sie die Parzellen für Fr. 2'950'000.00 und nicht zu einem höheren Kaufpreis – den von ihnen behaupteten Liebhaberwert in Höhe von Fr. 3'500'000.00 bis Fr. 4'000'000.00 – verkauft hätten, dies trotz einer Preissteigerung für Ein- familienhäuser von 25 % zwischen 2017 und 2023 und trotz einer Vermark- tungszeit durch einen Makler von 18 Monaten. Hätten sie zugewartet und den behaupteten Liebhaberpreis gelöst, wäre ihnen auch kein Schaden entstanden (Antwort Rz. 91; Duplik Rz. 33, 36; Schlussvortrag Beklagte Rz. 10). Sodann sehe die Ziff. V./3. der Kaufverpflichtung vom 4. März 2020 vor, dass einzig die Differenz zwischen dem effektiven Kaufpreis und den</w:t>
      </w:r>
    </w:p>
    <w:p>
      <w:r>
        <w:t>- 33 - Fr. 3'500'000.00 zu bezahlen sei. Eine höhere Forderung infolge einer ein- getretenen Teuerung sei damit ausgeschlossen (Antwort Rz. 92).</w:t>
      </w:r>
    </w:p>
    <w:p>
      <w:r>
        <w:rPr>
          <w:b/>
        </w:rPr>
        <w:t>E. 4.2</w:t>
      </w:r>
    </w:p>
    <w:p>
      <w:r>
        <w:t>Rechtliches Erfüllt die Schuldnerin ihre Leistung nicht, nicht zur richtigen Zeit oder nicht vereinbarungsgemäss, ist von einer Leistungsstörung die Rede. Das Leis- tungsstörungsrecht wird in den Art. 97 – 109 sowie Art. 119 OR geregelt. Diesfalls kann die Gläubigerin bei Vorliegen der entsprechenden Voraus- setzungen kumulativ einen Schadenersatzanspruch als Sekundäranspruch geltend machen. Bei Unmöglichwerden der Leistung tritt der Sekundäran- spruch an die Stelle des ursprünglichen Erfüllungsanspruchs.29</w:t>
      </w:r>
    </w:p>
    <w:p>
      <w:r>
        <w:rPr>
          <w:b/>
        </w:rPr>
        <w:t>E. 4.2.1</w:t>
      </w:r>
    </w:p>
    <w:p>
      <w:r>
        <w:t>Nichterfüllung (Art. 97 OR) Dabei regelt Art. 97 OR die (nachträgliche) Leistungsunmöglichkeit, die Verletzung einer Unterlassungspflicht und die positive Vertragsverletzung.30 Demnach hat die Gläubigerin Anspruch auf Schadenersatz, wenn a) die Schuldnerin ihre vertraglichen Pflichten verletzt (Nichterfüllung wegen Leistungsunmöglichkeit, Verletzung einer Unterlassungspflicht oder durch positive Vertragsverletzung)31 und b) der Gläubigerin ein Schaden entstanden ist, welcher c) auf die Vertragsverletzung adäquat kausal zurückzuführen ist. Zudem muss d) ein Verschulden der Schuldnerin vorliegen, welches vermutet wird.</w:t>
      </w:r>
    </w:p>
    <w:p>
      <w:r>
        <w:rPr>
          <w:b/>
        </w:rPr>
        <w:t>E. 4.2.2</w:t>
      </w:r>
    </w:p>
    <w:p>
      <w:r>
        <w:t>Verzug (Art. 102 OR) Eine weitere Art von Leistungsstörung ist der Verzug. Dabei ist die geschul- dete Leistung (noch) möglich, der Schuldner erfüllt aber nicht rechtzeitig. Voraussetzungen des Verzugs sind 1) die Nichtleistung trotz Leistungs- möglichkeit, 2) die Fälligkeit, 3) die Mahnung oder ein bestimmter Verfalltag und schliesslich 4) das Fehlen eines Leistungsverweigerungsrechts des Schuldners.32</w:t>
      </w:r>
    </w:p>
    <w:p>
      <w:r>
        <w:rPr>
          <w:b/>
        </w:rPr>
        <w:t>E. 4.2.3</w:t>
      </w:r>
    </w:p>
    <w:p>
      <w:r>
        <w:t>Ersatz des positiven Interesses Sowohl nach Art. 97 Abs. 1 OR als auch nach Art. 107 Abs. 2 OR (Verzicht auf die nachträgliche Leistung und Ersatz des Schadens, der aus der Nicht- erfüllung entstanden ist) kann der Geschädigte jeweils das positive Inte- resse (Erfüllungsinteresse) fordern.33 Der Schuldnerverzug ist ein Spezialfall der Nichterfüllung nach Art. 97 ff. OR.34 Dabei stellt der Schuldnerverzug eine Pflichtverletzung</w:t>
      </w:r>
    </w:p>
    <w:p>
      <w:r>
        <w:rPr>
          <w:b/>
        </w:rPr>
        <w:t>E. 4.3</w:t>
      </w:r>
    </w:p>
    <w:p>
      <w:r>
        <w:t>Schuldnerverzug</w:t>
      </w:r>
    </w:p>
    <w:p>
      <w:r>
        <w:rPr>
          <w:b/>
        </w:rPr>
        <w:t>E. 4.3.1</w:t>
      </w:r>
    </w:p>
    <w:p>
      <w:r>
        <w:t>Nichtleistung trotz Leistungsmöglichkeit Für den Eintritt des Verzugs notwendigerweise vorausgesetzt ist, dass die von der Schuldnerin zu erbringende Leistung möglich ist. Die Leistung darf mit anderen Worten weder subjektiv unmöglich noch nachträglich36 objektiv unmöglich geworden sein.37 Vorliegend macht die Beklagte zu Recht nicht geltend, die von ihr zu erbringende Leistung sei objektiv oder subjektiv un- möglich.</w:t>
      </w:r>
    </w:p>
    <w:p>
      <w:r>
        <w:rPr>
          <w:b/>
        </w:rPr>
        <w:t>E. 4.3.2</w:t>
      </w:r>
    </w:p>
    <w:p>
      <w:r>
        <w:t>Fälligkeit Für den Verzugseintritt ist gemäss Art. 102 Abs. 1 OR im Weiteren voraus- gesetzt, dass die zu erbringende, aber nicht erbrachte Leistung fällig ist. Fälligkeit bedeutet, dass der Gläubiger die Leistung fordern kann und der Schuldner erfüllen muss.38 Es ist erstellt, dass die Beklagte mit E-Mail vom 6. November 2023 (KB 44) darüber informiert wurde, dass ein Kaufangebot eines Drittkäufers in Höhe von Fr. 2'950'000.00 vorliegt. Gleichzeitig setzten die Kläger der Beklagten Frist bis zum 16. November 2023 an, um mitzuteilen, ob die Beklagte ein verbindliches Übernahmeangebot zu einem höheren Preis unterbreiten wolle. Mit E-Mail vom 9. November 2023 (KB 45) teilte die Beklagte mit, dass sie kein Übernahmeangebot unterbreiten werde. Damit hat sich die Beklagte für die zweite Option der Ziff. 1 der Zusatzvereinbarung vom 3. Mai 2022 entschieden. Der öffentlich beurkundete Kaufvertrag zwischen den Klägern und der Dritt- partei wurde am 19. Dezember 2023 unterzeichnet (KB 46). Dies ist der früheste Zeitpunkt, an welchem der tatsächliche Mindererlös feststand. Vorliegend ist allerdings nicht aktenkundig, dass die Beklagte vor Klageer- hebung darüber in Kenntnis gesetzt wurde, dass der Kaufvertrag mit der Drittpartei rechtsgültig zu Stande gekommen ist. Da die Kläger die Beklagte weder über den definitiven Verkauf informiert noch zur Zahlung des Rest- betrages aufgefordert haben, wurde die Forderung erst mit Zustellung der Klage an die Beklagte fällig.39</w:t>
      </w:r>
    </w:p>
    <w:p>
      <w:r>
        <w:rPr>
          <w:b/>
        </w:rPr>
        <w:t>E. 4.3.3</w:t>
      </w:r>
    </w:p>
    <w:p>
      <w:r>
        <w:t>Mahnung und Nachfrist Weiter setzt der Eintritt des Verzugs eine sog. Inverzugsetzung oder eine Vereinbarung des Verfalltags voraus. Ist eine Verbindlichkeit fällig, so wird der Schuldner durch Mahnung des Gläubigers in Verzug gesetzt (Art. 102 Abs. 1 OR). Neben den in Art. 102 Abs. 2 OR genannten Fällen, kann der Gläubiger zur Auslösung des Verzuges von einer vorgängigen Mahnung absehen, wenn der Schuldner unmissverständlich erklärt, dass er nicht leis- ten werde und sich demzufolge eine Mahnung als überflüssig erweisen würde.40 Ferner ist auch das Ansetzen einer Nachfrist nicht erforderlich, wenn aus dem Verhalten des Schuldners hervorgeht, dass sich eine solche als unnütz erweisen würde (Art. 108 Ziff. 1 OR). Im Rahmen des Schreibens vom 12. Mai 2023 (KB 39) teilte die Beklagte unmissverständlich mit, dass sie die Vereinbarungen vom 4. März 2020 und vom 3. Mai 2022 als nichtig erachte. Sodann hielt die Beklagte explizit im Schreiben vom 6. Juni 2023 (KB 43) fest, dass sich aus den Vereinba- rungen keine Verpflichtungen auf Seiten der Beklagten ergeben. Deshalb mussten die Kläger davon ausgehen, dass sich die Beklagte nicht an die Vereinbarungen gebunden fühlte, wodurch weder eine Mahnung noch eine Nachfristansetzung notwendig waren.</w:t>
      </w:r>
    </w:p>
    <w:p>
      <w:r>
        <w:rPr>
          <w:b/>
        </w:rPr>
        <w:t>E. 4.3.4</w:t>
      </w:r>
    </w:p>
    <w:p>
      <w:r>
        <w:t>Fehlen eines Leistungsverweigerungsrechts des Schuldners Sodann muss die Nichtleistung des Schuldners pflichtwidrig sein. Da den Schuldner die Pflicht zur zeitlich gehörigen Erfüllung trifft, begründet grund- sätzlich jede Verspätung bei der Erbringung der möglich, fälligen und ge- gebenenfalls abgemahnten Leistung eine Pflichtwidrigkeit seitens des Schuldners.41 Vorliegend macht die Beklagte zu Recht nicht geltend, dass sie sich auf ein Leistungsverweigerungsrecht berufen könnte.</w:t>
      </w:r>
    </w:p>
    <w:p>
      <w:r>
        <w:rPr>
          <w:b/>
        </w:rPr>
        <w:t>E. 4.3.5</w:t>
      </w:r>
    </w:p>
    <w:p>
      <w:r>
        <w:t>Rechtsfolge Hat der Schuldner nicht erfüllt, so kann der Gläubiger immer noch auf a) Erfüllung nebst Schadenersatz wegen Verspätung klagen, stattdessen aber auch, wenn er es unverzüglich erklärt, b) auf die nachträgliche Leis- tung verzichten und entweder b1) Ersatz des aus der Nichterfüllung ent- standenen Schadens (positives Interesse) verlangen oder b2) vom Ver- trage zurücktreten (negatives Interesse).42</w:t>
      </w:r>
    </w:p>
    <w:p>
      <w:r>
        <w:rPr>
          <w:b/>
        </w:rPr>
        <w:t>E. 4.3.5.1</w:t>
      </w:r>
    </w:p>
    <w:p>
      <w:r>
        <w:t>Ersatz des Mindererlöses Vorliegend wollen die Kläger so gestellt werden, wie wenn die Beklagte den geschlossenen Vertrag korrekt erfüllt hätte (Klage S. 19). Somit machen sie das positive Interesse geltend. Nach der Ziff. III.1. und III.2. des Vertrages vom 4. März 2020 (KB 25) wird unter dem Titel Kaufpreis festgehalten,</w:t>
      </w:r>
    </w:p>
    <w:p>
      <w:r>
        <w:rPr>
          <w:b/>
        </w:rPr>
        <w:t>E. 4.3.5.2</w:t>
      </w:r>
    </w:p>
    <w:p>
      <w:r>
        <w:t>Ersatz der Maklerkosten In der Zusatzvereinbarung (KB 32) wurde unter der Ziff. 3 festgehalten, dass als Maklerin das Unternehmen K._____ eingesetzt wird. Vorliegend beanstandet die Beklagte nicht, dass die K._____ vertragskonform als Maklerin eingesetzt wurde (Antwort Rz. 37). Nach Ziff. 6 der Zusatzvereinbarung (KB 32) hält die Beklagte die Kläger gegenüber der Maklerin von jeglicher finanzieller Verpflichtung frei. Da be- reits im öffentlich beurkundeten Vertrag vom 4. März 2020 eine Verpflich- tung der Beklagten zur Suche einer Ersatzkäuferschaft festgehalten wurde (KB 25 Ziff. V./3.), ist davon auszugehen, dass sich die Parteien darüber einig waren, dass die Kläger die mit der Suche einhergehenden Kosten nicht tragen müssen. Es ist somit nicht ersichtlich, inwiefern diese Rege- lung das im Rahmen des Vertrages vom 4. März 2020 festgehaltene Ver- hältnis von Leistung und Gegenleistung verändert. In der Konsequenz han- delt es sich auch bei dieser Regelung um eine formgültige Vereinbarung zwischen den Parteien. In der Rechnung Nr. ccc vom 14. Dezember 2023</w:t>
      </w:r>
    </w:p>
    <w:p>
      <w:r>
        <w:t>- 37 - hat die K._____ den Klägern einen Betrag in Höhe von Fr. 79'428.75 in Rechnung gestellt (KB 48). Von der Beklagten wird nicht bestritten, dass dieser Betrag von den Klägern bezahlt wurde. Aufgrund der geltenden Dis- positionsmaxime kann den Klägern insgesamt nicht mehr zugesprochen werden, als sie beantragt haben (Art. 58 Abs. 1 ZPO). Der von den Klägern geltend gemachte Betrag in Höhe von Fr. 79'428.00 hat die Beklagte ihnen somit zu ersetzen.</w:t>
      </w:r>
    </w:p>
    <w:p>
      <w:r>
        <w:rPr>
          <w:b/>
        </w:rPr>
        <w:t>E. 4.3.5.3</w:t>
      </w:r>
    </w:p>
    <w:p>
      <w:r>
        <w:t>Zwischenfazit Zusammengerechnet schuldet die Beklagte den Klägern sowohl den Ersatz des Mindererlöses in Höhe von Fr. 705'509.00 als auch den Ersatz der Maklerkosten in Höhe von Fr. 79'428.00, was gesamthaft einen Betrag von Fr. 784'937.00 ergibt.</w:t>
      </w:r>
    </w:p>
    <w:p>
      <w:r>
        <w:rPr>
          <w:b/>
        </w:rPr>
        <w:t>E. 4.3.5.4</w:t>
      </w:r>
    </w:p>
    <w:p>
      <w:r>
        <w:t>Verzugszinsen Die Kläger machen zudem einen Verzugszins von 5 % auf einen Betrag von Fr. 3'658'309.00 zwischen dem 4. September 2023 und 30. Oktober 2023, auf einen Betrag von Fr. 3'568'309.00 zwischen dem 31. Oktober 2023 und 5. Januar 2024 sowie auf einen Betrag von Fr. 845'605.00 ab 6. Januar 2024 geltend. Wie bereits erläutert wurde, ist die vertragliche Forderung vorliegend erst mit der Zustellung der Klage an die Beklagte fällig geworden, da die Be- klagte vor Klageerhebung mangels Kenntnis des rechtsgültigen Liegen- schaftsverkaufs an die Ersatzkäuferschaft keine Möglichkeit hatte, ihre ver- tragliche Verpflichtung zu erfüllen (E. 4.3.2). Auch bezüglich der Makler- kosten ist nicht aktenkundig, dass die Beklagte über den von K._____ in Rechnung gestellten Betrag in Kenntnis gesetzt worden wäre. Entgegen den Klägern kann somit nicht auf die in Ziff. II./1. des Vertrages vom 4. März 2020 festgehaltene 18-monatige Frist abgestellt werden (KB 25). Der gel- tend gemachte Verzugszins in Höhe von 5 % auf einen Betrag von Fr. 3'658'309.00 zwischen dem 4. September 2023 und 30. Oktober 2023 sowie von 5 % auf einen Betrag von Fr. 3'568'309.00 zwischen dem 31. Oktober 2023 und 5. Januar 2024 kann folglich nicht zugesprochen werden. Das Gericht hat mit Verfügung vom 13. März 2024 der Beklagten das Dop- pel der Klage versendet, welches ihr am 14. März 2024 zugestellt wurde.43 Die Beklagte befindet sich entsprechend seit dem 15. März 2024 in Verzug. Nach der dispositiven Regelung in Art. 104 Abs. 1 OR beträgt der Verzugs- zins 5 %. Somit schuldet die Beklagte einen Verzugszins von 5 % auf den Betrag von Fr. 784'937.00 seit dem 15. März 2024 (Art. 104 Abs. 1 OR).</w:t>
      </w:r>
    </w:p>
    <w:p>
      <w:r>
        <w:rPr>
          <w:b/>
        </w:rPr>
        <w:t>E. 9</w:t>
      </w:r>
    </w:p>
    <w:p>
      <w:r>
        <w:t>Vgl. LUSTENBERGER (Fn. 1), N. 221 f.</w:t>
      </w:r>
    </w:p>
    <w:p>
      <w:r>
        <w:rPr>
          <w:b/>
        </w:rPr>
        <w:t>E. 10</w:t>
      </w:r>
    </w:p>
    <w:p>
      <w:r>
        <w:t>Vgl. BSK ZGB I-LARDELLI/VETTER (Fn. 8), Art. 8 N. 30; BK ZGB-WALTER (Fn. 8), Art. 8 N. 196.</w:t>
      </w:r>
    </w:p>
    <w:p>
      <w:r>
        <w:t>- 22 - Staubimmissionen dazu führen, dass die streitgegenständlichen Liegen- schaften einerseits erheblich an Wert verlieren und andererseits die Le- bensqualität der Kläger stark beeinträchtigt würde (KB 11). Es ist richtig, dass diese Präambel in der unterzeichneten Version (KB 25) nicht aufge- nommen worden ist und der einseitigen Instruktion des Notars durch die Kläger entstammt (KB 12, 13). Das Vorbringen der Beklagten, die Kläger hätten keine Nachteile durch die Erweiterung erfahren und kein schützens- wertes Interesse verfolgt, ist in Anbetracht der vorvertraglichen Korrespon- denz aber nicht überzeugend. Der Aktennotiz über die Besprechung vom 18. März 2019 (KB 14) kann entnommen werden, dass von Seiten der Kläger gesagt wurde, dass die Beklagte die Preisdifferenz zwischen rund Fr. 2'760'000.00 und Fr. 3'500'000.00 als Preis dafür nehmen solle, dass die Kläger ihren Wider- stand gegen den zusätzlichen Abbau aufgeben und kein jahrelanges Jus- tizverfahren geführt werden muss. Diese Aussage der Kläger vom März 2019 weist entgegen der beklagtischen Auffassung nicht nach, dass die Kläger keine schutzwürdigen Interessen an der Ergreifung von Rechtsmit- teln gehabt hätten und sich der wirtschaftliche Wert des Verzichts bloss aus dem möglichen Schaden wegen der Verlängerung des Teilzonenplanungs- verfahrens ergäbe. Einerseits gilt es zu beachten, dass der Wert des Ver- zichts ein zulässiger Gegenstand einer Vereinbarung sein kann, da mit dem Abschluss des Vergleichs die mit der Opposition einhergehende Ungewiss- heit beseitigt wird. Vorliegend hat sich die Beklagte bewusst für diese Vor- gehensweise entschieden und war in diesem Moment bereit, einen Geld- betrag für die Beseitigung der Unsicherheit zu bezahlen, statt das Verfah- ren abzuwarten und einen allfälligen Verzögerungsschaden als Schaden- ersatz geltend zu machen.11 Auch der Umstand, dass der Preis von Fr. 3'500'000.00 nicht der ursprünglichen Verhandlungsintention der Be- klagten entsprach und sich die Beklagte zu einem früheren Zeitpunkt nicht zur Zahlung dieses Betrags einverstanden erklärt hatte (KB 16), ändert da- ran nichts. Andererseits ist davon auszugehen, dass sich die Parteien in den Vertragsverhandlungen über die Höhe des Entgelts gefunden haben und die Kläger der Beklagten als Argument für ein höheres Entgelt die Op- portunitätskosten aufzeigen wollten. Schon bei der Sitzung vom 16. Sep- tember 2013 machten die Kläger darauf aufmerksam, dass ihre Liegen- schaft von der Erweiterung unverhältnismässig stark betroffen sei und sie das nicht hinnehmen würden (Klage Ziff. B.I.4). Da die Liegenschaft erst rund 10 Jahre später verkauft wurde, überzeugt die von Seiten der Beklag- ten aufgestellte Behauptung, die Kläger hätten schon im Zeitpunkt der Ver- handlungen die Absicht gehabt, die Liegenschaften in X._____ – unabhän- gig vom Abbauvorhaben der Beklagten – möglichst rasch zu veräussern, nicht.</w:t>
      </w:r>
    </w:p>
    <w:p>
      <w:r>
        <w:rPr>
          <w:b/>
        </w:rPr>
        <w:t>E. 11</w:t>
      </w:r>
    </w:p>
    <w:p>
      <w:r>
        <w:t>Vgl. WIEGAND, Die privatrechtliche Rechtsprechung des Bundesgerichts im Jahre 1997, ZBJV 134/1998, S. 681; BGer 4A_73/2021 vom 1. Juni 2021 E. 4.3.2.</w:t>
      </w:r>
    </w:p>
    <w:p>
      <w:r>
        <w:t>- 23 - Das eben Gesagte gilt es auch bei der Würdigung der im Rahmen der E- Mail vom 22. April 2019 getätigten Aussagen der Klägerschaft, mit welcher die Beklagte die nicht schutzwürdigen Interessen der Kläger nachweisen möchte (KB 15), zu beachten: "Wenn D._____ Mühe haben sollte, die von meiner Klientschaft ins Feld geführte Entwertung ihrer Heimstatt im Quantitativ zu teilen, so möge sie doch den wirtschaftlichen Wert der Gegenleistung meiner Klientin (Ver- zicht auf jahrelange Rechtsverfahren) angemessen würdigen. Was dies- bezüglich auf D._____ zukäme, lässt sich unschwer aus den substantiellen Einwendungen meiner Klienten gegen die Teilzonenplanänderung ablei- ten." Nach der beklagtischen Auffassung würden die Kläger im Rahmen dieser E-Mail gerade selber ausführen, dass ihre Gegenleistung im Verzicht auf jahrelange Gerichtsverfahren bestehe. Wiederum ist die Aussage so zu verstehen, dass die Kläger das Entgelt als Ersatz der Entwertung der streit- gegenständlichen Liegenschaften betrachtet haben. Diesen Schluss lässt die Formulierung "Wenn D._____ Mühe haben sollte, die von meiner Klien- tschaft ins Feld geführte Entwertung ihrer Heimstatt im Quantitativ zu teilen, so möge sie doch den wirtschaftlichen Wert der Gegenleistung meiner Kli- entin (Verzicht auf jahrelange Rechtsverfahren) angemessen würdigen" zu. Sodann erfolgt von den Klägern auch der explizite Zusatz, dass von ihnen 'substantielle Einwendungen' gegen die Teilzonenplanung erhoben worden seien. Aufgrund dieser Wortwahl scheinen die Kläger davon ausgegangen zu sein, dass sie mit den erhobenen Einwendungen schützenswerte Inte- ressen verfolgten. Zusammengefasst gelingt der Beklagten unter Anrufung dieser Beweismit- tel der Nachweis, dass sich der wirtschaftliche Wert des Verzichts bloss aus dem möglichen Schaden wegen der Verlängerung des Teilzonen- planänderungsverfahrens und nicht aber aus schützenswerten Interessen der Kläger ergeben würde, nicht. Vielmehr stellt die dokumentierte Korres- pondenz während der Vertragsentstehung ein gewichtiges Indiz dafür dar, dass die Kläger ein schützenswertes Interesse verfolgten. 2.4.2.4. Anwaltliche Vertretung Auch läuft das Vorbringen der Beklagten, dass die Kläger im ganzen Pro- zess der Verhandlungen mit der Beklagten anwaltlich vertreten gewesen sind und der Rechtsvertreter der Kläger um die Rechtsprechung betreffend verpönte Kommerzialisierung einer Rechtsposition im Zusammenhang mit baurechtlichen Einsprachen und Einwendungen hätte wissen müssen (Ant- wort Rz. 23; Duplik Rz. 9), ins Leere. Denn für die Beklagte hat im relevan- ten Zeitraum Dr. I._____ die Vertragsverhandlungen geführt, welcher ebenfalls Rechtsanwalt ist (vgl. z.B. KB 11, 16). In der Konsequenz hätte somit die Beklagte auch Kenntnis darüber haben müssen, dass der</w:t>
      </w:r>
    </w:p>
    <w:p>
      <w:r>
        <w:t>- 24 - Vertragsgegenstand unter dem Aspekt der Sittenwidrigkeit problematisch sein könnte. Ihr Zuwarten hinsichtlich der Geltendmachung der Nichtigkeit des Vertrages wäre sodann als rechtsmissbräuchlich zu bewerten.12 2.4.2.5. Rechtskonformität der Erweiterung Vorliegend kann die Beklagte nichts daraus ableiten, dass der Regierungs- rat die Planung der Beklagten (Änderung der Teilnutzungsplanung 'Abbau- gebiete') im Rahmen der Sitzung vom 8. April 2021 genehmigte (AB 2). Diesbezüglich ist festzuhalten, dass der Gemeinderat bei der Entscheidung über die in den Einwendungen erhobenen Rügen über ein Planungsermes- sen verfügt.13 Somit kann nicht darauf geschlossen werden, dass ein ge- gebenenfalls abgeänderter Nutzungsplan nicht auch vom Regierungsrat genehmigt worden wäre. Die Genehmigung des Regierungsrates lässt kei- nen Rückschluss darüber zu, ob die Einwendungen der Kläger aussichtslos gewesen wären, die Immissionen nicht übermässig gewesen seien oder die Kläger keine schützenswerten Interessen verfolgt hätten. Richtig ist, dass im Zeitpunkt der Realisierung eines zonenkonformen Bauvorhabens nur in Ausnahmefällen von einem positiven Schaden bzw. objektiven Wert- verlust auszugehen ist.14 Da die Abbaubewilligung 5 (AB 3) aber erst infolge der Abänderung des Nutzungsplanes erteilt wurde, schlug sich das Erwei- terungsvorhaben der Beklagten mit dem Eintritt der Rechtskraft des Teil- nutzungsplanes unmittelbar im Verkehrswert der hinter- oder anliegenden Parzelle nieder. Insofern kann sich die Beklagte somit nichts davon ablei- ten, dass ihr Abbauvorhaben den planungs-, bau- und umweltrechtlichen Bestimmungen entspricht. 2.4.2.6. Nähe zum Abbaugebiet Nach der beklagtischen Auffassung wären sodann die mit der Erweiterung einhergehenden Immissionen insbesondere deshalb nicht stärker, als dies sowieso schon der Fall gewesen sei, da auch die erweiterte Materialabbauzone nicht von den Liegenschaften sichtbar sei. Dies wird von den Klägern bestritten. Dem Bericht der O._____ vom 5. September 2017 kann entnommen werden, dass der Steinbruch von der Liegenschaft aus nicht zu sehen ist (KB 9, S. 7). Den weiteren Ausführungen im Bericht kann entnommen werden, dass eine Erweiterung des Steinbruchs, so dass der Steinbruch von der Liegenschaft sichtbar ist, zu einer deutlichen Verschlechterung der Mikrolagenqualität führen würde (KB 9, S. 10). Es ist zu berücksichtigen, dass diesem Bericht in Anlehnung an die bundesgerichtliche Rechtsprechung bezüglich Parteigutachten lediglich die Qualität einer Parteibehauptung zukommt.15</w:t>
      </w:r>
    </w:p>
    <w:p>
      <w:r>
        <w:rPr>
          <w:b/>
        </w:rPr>
        <w:t>E. 12</w:t>
      </w:r>
    </w:p>
    <w:p>
      <w:r>
        <w:t>Vgl. BGE 129 III 493 E. 5.1; 138 III 401 E. 2.3.1, 2.3.2; OG ZH, LZ140005-O/U E. 3b.</w:t>
      </w:r>
    </w:p>
    <w:p>
      <w:r>
        <w:rPr>
          <w:b/>
        </w:rPr>
        <w:t>E. 13</w:t>
      </w:r>
    </w:p>
    <w:p>
      <w:r>
        <w:t>HÄUPTLI, in: Baumann/Van den Bergh/Gossweiler/Häuptli/Häuptli-Schwaller/Sommerhalder Fo- restier, Kommentar zum Baugesetz des Kantons Aargau, 2013, § 24 BauG N. 31.</w:t>
      </w:r>
    </w:p>
    <w:p>
      <w:r>
        <w:rPr>
          <w:b/>
        </w:rPr>
        <w:t>E. 14</w:t>
      </w:r>
    </w:p>
    <w:p>
      <w:r>
        <w:t>BGE 139 II 363 E. 2.6.</w:t>
      </w:r>
    </w:p>
    <w:p>
      <w:r>
        <w:rPr>
          <w:b/>
        </w:rPr>
        <w:t>E. 15</w:t>
      </w:r>
    </w:p>
    <w:p>
      <w:r>
        <w:t>Vgl. BGE 141 III 433 E. 2.6.</w:t>
      </w:r>
    </w:p>
    <w:p>
      <w:r>
        <w:t>- 25 - Auf dem Plan 'Ausgangszustand, Zustand Ende 2021' ist ersichtlich, dass das Gelände ausgehend von den Liegenschaften der Kläger in Richtung des östlichen Rands des geplanten Abbaugebietes einen Anstieg von rund</w:t>
      </w:r>
    </w:p>
    <w:p>
      <w:r>
        <w:rPr>
          <w:b/>
        </w:rPr>
        <w:t>E. 20</w:t>
      </w:r>
    </w:p>
    <w:p>
      <w:r>
        <w:t>BGE 68 II 229 E. 1; 113 II 402 E. 2a; 135 III 295 E. 3.2; BGer 4A_281/2014 vom 17. Dezember 2014 E. 3.2; SCHMID/STÖCKLI/KRAUSKOPF (Fn. 19), N. 589.</w:t>
      </w:r>
    </w:p>
    <w:p>
      <w:r>
        <w:rPr>
          <w:b/>
        </w:rPr>
        <w:t>E. 21</w:t>
      </w:r>
    </w:p>
    <w:p>
      <w:r>
        <w:t>BGE 143 III 157 E. 1.2.2; 142 III 239 E. 5.2.1; BGer 8C_14/2020 vom 13. Februar 2020 E. 4.4.</w:t>
      </w:r>
    </w:p>
    <w:p>
      <w:r>
        <w:rPr>
          <w:b/>
        </w:rPr>
        <w:t>E. 22</w:t>
      </w:r>
    </w:p>
    <w:p>
      <w:r>
        <w:t>BGE 144 III 93 E. 5.2.3; BGer 4A_291/2018 vom 10. Januar 2019 E. 3.4.1.</w:t>
      </w:r>
    </w:p>
    <w:p>
      <w:r>
        <w:rPr>
          <w:b/>
        </w:rPr>
        <w:t>E. 23</w:t>
      </w:r>
    </w:p>
    <w:p>
      <w:r>
        <w:t>BGE 143 III 157 E. 1.2.2 m.w.N.; 121 III 118 E. 4b/aa; BGer 4A_112/2020 vom 1. Juli 2020 E. 3.2.1; GAUCH/SCHLUEP/SCHMID (Fn. 18), N. 1201; SCHWENZER/FOUNTOULAKIS, Schweizerisches Obligatio- nenrecht, Allgemeiner Teil, 8. Aufl. 2020, N. 33.01 ff.</w:t>
      </w:r>
    </w:p>
    <w:p>
      <w:r>
        <w:rPr>
          <w:b/>
        </w:rPr>
        <w:t>E. 24</w:t>
      </w:r>
    </w:p>
    <w:p>
      <w:r>
        <w:t>BGE 143 III 558 E. 4.1.1; GAUCH/SCHLUEP/SCHMID (Fn. 18), N. 1201.</w:t>
      </w:r>
    </w:p>
    <w:p>
      <w:r>
        <w:t>- 29 -</w:t>
      </w:r>
    </w:p>
    <w:p>
      <w:r>
        <w:rPr>
          <w:b/>
        </w:rPr>
        <w:t>E. 25</w:t>
      </w:r>
    </w:p>
    <w:p>
      <w:r>
        <w:t>BGE 133 III 61 E. 2.2.1; BGer 4A_370/2010 vom 31. Mai 2011 E. 5.3; vgl. ausführlich zu den ein- zelnen Auslegungsmitteln: GAUCH/SCHLUEP/SCHMID (Fn. 18), N. 1205 ff.</w:t>
      </w:r>
    </w:p>
    <w:p>
      <w:r>
        <w:rPr>
          <w:b/>
        </w:rPr>
        <w:t>E. 26</w:t>
      </w:r>
    </w:p>
    <w:p>
      <w:r>
        <w:t>BGE 97 II 72 E. 4.</w:t>
      </w:r>
    </w:p>
    <w:p>
      <w:r>
        <w:rPr>
          <w:b/>
        </w:rPr>
        <w:t>E. 27</w:t>
      </w:r>
    </w:p>
    <w:p>
      <w:r>
        <w:t>GAUCH/SCHLUEP/SCHMID (Fn. 18), N. 1206 ff., 1220 und 1228; ZK OR-JÄGGI/GAUCH/HARTMANN, 4. Aufl. 2015, Art. 18 N. 374 ff.</w:t>
      </w:r>
    </w:p>
    <w:p>
      <w:r>
        <w:rPr>
          <w:b/>
        </w:rPr>
        <w:t>E. 28</w:t>
      </w:r>
    </w:p>
    <w:p>
      <w:r>
        <w:t>GAUCH/SCHLUEP/SCHMID (Fn. 18), N. 1212 ff.; ZK OR-JÄGGI/GAUCH/HARTMANN (Fn. 27), Art. 18 N. 385 ff.</w:t>
      </w:r>
    </w:p>
    <w:p>
      <w:r>
        <w:t>- 30 - im Einzelnen "aus einem anderen Grund" bedeutet, ist nicht aus dem Wort- laut ersichtlich. Sodann ist aufgrund des Wortes "bzw." darauf zu schlies- sen, dass dasselbe alternativ auch gilt, wenn der Kaufvertrag nicht vollzo- gen werden kann. Welche Szenarien davon erfasst sind, bleibt aufgrund des Wortlautes auch unklar. Was festgehalten werden kann, ist, dass die Beklagte grundsätzlich zum Kauf der Liegenschaft verpflichtet wird und nur beim Vorliegen bestimmter Voraussetzungen eine Ersatzkäuferschaft ge- sucht wird. Vorliegend sind sich die Parteien einig, dass die Kläger am 4. März 2022 die Kaufverpflichtung vertragskonform auslösten, da die vertraglichen Be- dingungen erfüllt waren (Klage Ziff. B.I.10; Antwort Rz. 34). Gemäss der Ziff. II./1. des Vertrages vom 4. März 2020 wurde mit der Auslösung der Kaufverpflichtung am 4. März 2022 die 18-monatige Frist zum Kauf der Lie- genschaft ausgelöst.</w:t>
      </w:r>
    </w:p>
    <w:p>
      <w:r>
        <w:rPr>
          <w:b/>
        </w:rPr>
        <w:t>E. 29</w:t>
      </w:r>
    </w:p>
    <w:p>
      <w:r>
        <w:t>HUGUENIN, Obligationenrecht, Allgemeiner und Besonderer Teil, 3. Aufl. 2019, N. 809 und 813.</w:t>
      </w:r>
    </w:p>
    <w:p>
      <w:r>
        <w:rPr>
          <w:b/>
        </w:rPr>
        <w:t>E. 30</w:t>
      </w:r>
    </w:p>
    <w:p>
      <w:r>
        <w:t>BSK OR I-WIEGAND (Fn. 1), Art. 97 N. 25 f. m.w.N.</w:t>
      </w:r>
    </w:p>
    <w:p>
      <w:r>
        <w:rPr>
          <w:b/>
        </w:rPr>
        <w:t>E. 31</w:t>
      </w:r>
    </w:p>
    <w:p>
      <w:r>
        <w:t>HUGUENIN (Fn. 29), N. 861.</w:t>
      </w:r>
    </w:p>
    <w:p>
      <w:r>
        <w:rPr>
          <w:b/>
        </w:rPr>
        <w:t>E. 32</w:t>
      </w:r>
    </w:p>
    <w:p>
      <w:r>
        <w:t>HUGUENIN (Fn. 29), N. 910 und 912.</w:t>
      </w:r>
    </w:p>
    <w:p>
      <w:r>
        <w:rPr>
          <w:b/>
        </w:rPr>
        <w:t>E. 33</w:t>
      </w:r>
    </w:p>
    <w:p>
      <w:r>
        <w:t>BSK OR I-WIEGAND (Fn. 1), Art. 97 N. 38; BSK OR I-WIEGAND (Fn. 1), Art. 107 N. 17.</w:t>
      </w:r>
    </w:p>
    <w:p>
      <w:r>
        <w:rPr>
          <w:b/>
        </w:rPr>
        <w:t>E. 34</w:t>
      </w:r>
    </w:p>
    <w:p>
      <w:r>
        <w:t>BK OR-WEBER, 2000, Art. 102 N. 4.</w:t>
      </w:r>
    </w:p>
    <w:p>
      <w:r>
        <w:t>- 34 - dar.35 Vorliegend ist somit an erster Stelle zu prüfen, ob die Beklagte in Schuldnerverzug nach Art. 102 ff. OR fiel.</w:t>
      </w:r>
    </w:p>
    <w:p>
      <w:r>
        <w:rPr>
          <w:b/>
        </w:rPr>
        <w:t>E. 35</w:t>
      </w:r>
    </w:p>
    <w:p>
      <w:r>
        <w:t>BK OR-WEBER (Fn. 34), Art. 102 N. 6, 36.</w:t>
      </w:r>
    </w:p>
    <w:p>
      <w:r>
        <w:rPr>
          <w:b/>
        </w:rPr>
        <w:t>E. 36</w:t>
      </w:r>
    </w:p>
    <w:p>
      <w:r>
        <w:t>Bei anfänglicher objektiver Unmöglichkeit ist der Vertrag gemäss Art. 20 Abs. 1 OR nichtig und es fehlt demgemäss bereits an einem Schuldverhältnis.</w:t>
      </w:r>
    </w:p>
    <w:p>
      <w:r>
        <w:rPr>
          <w:b/>
        </w:rPr>
        <w:t>E. 37</w:t>
      </w:r>
    </w:p>
    <w:p>
      <w:r>
        <w:t>BSK OR I-WIDMER LÜCHINGER/WIEGAND (Fn. 1), Art. 102 N. 3a.</w:t>
      </w:r>
    </w:p>
    <w:p>
      <w:r>
        <w:rPr>
          <w:b/>
        </w:rPr>
        <w:t>E. 38</w:t>
      </w:r>
    </w:p>
    <w:p>
      <w:r>
        <w:t>BGE 129 III 535 E. 3.2.1.</w:t>
      </w:r>
    </w:p>
    <w:p>
      <w:r>
        <w:rPr>
          <w:b/>
        </w:rPr>
        <w:t>E. 39</w:t>
      </w:r>
    </w:p>
    <w:p>
      <w:r>
        <w:t>Vgl. BGer 4A_11/2013 vom 16. Mai 2013 E. 3.</w:t>
      </w:r>
    </w:p>
    <w:p>
      <w:r>
        <w:t>- 35 -</w:t>
      </w:r>
    </w:p>
    <w:p>
      <w:r>
        <w:rPr>
          <w:b/>
        </w:rPr>
        <w:t>E. 40</w:t>
      </w:r>
    </w:p>
    <w:p>
      <w:r>
        <w:t>BGE 94 II 26; 97 II 58; BSK OR I-WIDMER LÜCHINGER/WIEGAND (Fn. 1), Art. 102 N. 11.</w:t>
      </w:r>
    </w:p>
    <w:p>
      <w:r>
        <w:rPr>
          <w:b/>
        </w:rPr>
        <w:t>E. 41</w:t>
      </w:r>
    </w:p>
    <w:p>
      <w:r>
        <w:t>GAUCH/SCHLUEP/EMMENEGGER, Schweizerisches Obligationenrecht Allgemeiner Teil, Band II, 11. Aufl. 2020, N. 2661.</w:t>
      </w:r>
    </w:p>
    <w:p>
      <w:r>
        <w:rPr>
          <w:b/>
        </w:rPr>
        <w:t>E. 42</w:t>
      </w:r>
    </w:p>
    <w:p>
      <w:r>
        <w:t>Vgl. HUGUENIN (Fn. 29), N. 948 ff.</w:t>
      </w:r>
    </w:p>
    <w:p>
      <w:r>
        <w:t>- 36 - dass der Basiskaufpreis für die Kaufobjekte Fr. 3'500'000.00 beträgt, wobei der Basiskaufpreis auf dem Stand des Indexes vom Dezember 2019 mit 101.7 Punkten basiert. Dieser ist bei Ausübung der Option anzupassen. Die Kläger machen geltend, dass vorliegend auf den Stand des Indexes vom September 2023 mit 106.3 Punkten abzustellen ist, da die Frist von 18 Monaten gemäss Ziff. II./1. dann abgelaufen sei. Dies entspreche einem Wert von Fr. 3'658'309.00. Die Beklagte bestreitet dies pauschal und bringt vor, dass eine höhere Forderung infolge einer eingetretenen Teuerung aus- geschlossen sei. Dies ist zu verneinen, da der Kaufpreis nach der Ziff. III des Vertrages vom 4. März zu ermitteln und der Basiskaufpreis bei der Aus- übung der Option anzupassen ist (vgl. Ausführungen in E. 3.1.3.2). Somit bestreitet sie weder die klägerische Auslegung der Vertragsbestimmung noch den für die Berechnung zu Grunde gelegten Indexwert. Es ist somit von einem Kaufpreis gemäss Ziff. III.2. des Vertrages vom 4. März 2020 von Fr. 3'658'309.00 auszugehen. Die beklagtenseitig zu bezahlende Dif- ferenz beträgt somit Fr. 708'309.00. Dieser Betrag reduziert sich unbestrit- tenermassen um Fr. 2'800.00, da bei den Notariats- und Grundbuchgebüh- ren Einsparungen infolge des niedrigeren Kaufpreises erfolgten (KB 49). Die Beklagte schuldet den Klägern als Mindererlös somit Fr. 705'509.00. Soweit sich vorliegend die Beklagte darauf beruft, dass die Kläger mit dem Verkauf hätten zuwarten müssen, da sie zu einem späteren Zeitpunkt einen höheren Verkaufspreis erzielt hätten, ist sie nicht zu hören. Am 9. Novem- ber 2023 hat die Beklagte die Option eines Drittverkaufs der Liegenschaft basierend auf einem konkreten Kaufangebot getroffen (KB 45). Sie kann sich somit nicht mehr darauf berufen, dass die Kläger nicht zum dem be- sagten Kaufangebot zugrundeliegenden Preis hätten verkaufen sollen.</w:t>
      </w:r>
    </w:p>
    <w:p>
      <w:r>
        <w:rPr>
          <w:b/>
        </w:rPr>
        <w:t>E. 43</w:t>
      </w:r>
    </w:p>
    <w:p>
      <w:r>
        <w:t>Gemäss Sendungsverfolgung der Post unter der Nummer 98.37.115493.00586683.</w:t>
      </w:r>
    </w:p>
    <w:p>
      <w:r>
        <w:t>- 38 - 5. Prozesskosten Die Prozesskosten, bestehend aus den Gerichtskosten und der Parteient- schädigung (Art. 95 Abs. 1 ZPO), werden den Parteien im Verhältnis des Obsiegens bzw. Unterliegens auferlegt (Art. 106 Abs. 2 ZPO). Bei der Fest- setzung der Kosten ist vom Streitwert der Klage auszugehen. Dieser wird durch das Rechtbegehren bestimmt, wobei Zinsen und Kosten des laufen- den Verfahrens nicht zu berücksichtigten sind (Art. 91 Abs. 1 ZPO). Dem- gemäss beträgt der Streitwert Fr. 845'605.00. Geringfügiges Überklagen, welches bei Obsiegen in der Höhe von etwa 90 % anzunehmen ist, kann für die Kostenverteilung als vollständiges Ob- siegen behandelt werden.44 Die Kläger haben zu rund 93 % obsiegt, wes- halb die Beklagte sämtliche Prozesskosten zu tragen hat. 5.1. Gerichtskosten Die Gerichtskosten bestehen vorliegend einzig aus der Entscheidgebühr (Art. 95 Abs. 2 lit. b ZPO). Der Grundansatz gemäss § 7 Abs. 1 VKD45 beträgt vorliegend Fr. 22'126.00. Die Gerichtskosten werden mit dem von den Klägern geleis- teten Vorschuss in der Höhe von Fr. 22'126.00 verrechnet, sodass die Be- klagte den Klägern Fr. 22'126.00 direkt zu ersetzen hat (Art. 111 Abs. 1 ZPO). 5.2. Parteientschädigung Die Beklagte hat den Klägern zudem eine Parteientschädigung zu bezah- len (Art. 106 Abs. 1 ZPO). Die Parteientschädigung bemisst sich ebenfalls nach dem für die Gebühren relevanten Streitwert (§ 3 AnwT). Die Grund- entschädigung beläuft sich gemäss § 3 Abs. 1 lit. a Ziff. 9 AnwT auf rund Fr. 41'380.15 (Fr. 20'240.00 + 2.5 % des Streitwertes [Fr. 21'140.15]). Dadurch sind Instruktion, Aktenstudium, rechtliche Abklärungen, Korres- pondenz und Telefongespräche sowie eine Rechtsschrift und die Teil- nahme an einer behördlichen Verhandlung abgegolten (§ 6 Abs. 1 AnwT). Hinzuzurechnen ist gemäss § 6 Abs. 3 AnwT ein Zuschlag von 20% für den doppelten Schriftenwechsel. Mit der Kleinkostenpauschale von praxisge- mäss 3 % (vgl. § 13 Abs. 1 AnwT) resultiert damit eine Parteientschädigung von Fr. 51'145.85. Die Beklagte ist demnach zu verpflichten, den Klägern Fr. 51'145.85 zu bezahlen.</w:t>
      </w:r>
    </w:p>
    <w:p>
      <w:r>
        <w:rPr>
          <w:b/>
        </w:rPr>
        <w:t>E. 44</w:t>
      </w:r>
    </w:p>
    <w:p>
      <w:r>
        <w:t>JENNY, in: Sutter-Somm/Hasenböhler/Leuenberger, Kommentar zur Schweizerischen Zivilprozess- ordnung (ZPO), 3. Aufl. 2016, Art. 106 N. 10.</w:t>
      </w:r>
    </w:p>
    <w:p>
      <w:r>
        <w:rPr>
          <w:b/>
        </w:rPr>
        <w:t>E. 45</w:t>
      </w:r>
    </w:p>
    <w:p>
      <w:r>
        <w:t>Gemäss § 29 Abs. 1 GebührD (SAR 662.110) werden Gebühren für Vorgänge, die im Zeitpunkt des Inkrafttretens des Gebührendekrets bereits begonnen haben, nach bisherigem Recht erhoben.</w:t>
      </w:r>
    </w:p>
    <w:p>
      <w:r>
        <w:t>- 39 - Dem Antrag der Kläger auf Zusprechung des Mehrwertsteuerzuschlags ist zu entsprechen, da die Kläger selber nicht mehrwertsteuerpflichtig sind, womit die Mehrwertsteuer einen zusätzlichen Kostenfaktor bildet.46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