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AG_HANDELSGERICHT HOR.2016.19 vom 5. November 2018</w:t>
      </w:r>
    </w:p>
    <w:p>
      <w:r>
        <w:t>Ag Handelsgericht, 2018-11-05, DE</w:t>
      </w:r>
    </w:p>
    <w:p>
      <w:r>
        <w:rPr>
          <w:b/>
        </w:rPr>
        <w:t xml:space="preserve">Quelle: </w:t>
      </w:r>
      <w:r>
        <w:t>https://mcp.opencaselaw.ch/entscheid/ag_handelsgericht_HOR.2016.19</w:t>
      </w:r>
    </w:p>
    <w:p>
      <w:r>
        <w:t>FR: AG_HANDELSGERICHT HOR.2016.19 du 5 novembre 2018</w:t>
      </w:r>
    </w:p>
    <w:p>
      <w:r>
        <w:t>IT: AG_HANDELSGERICHT HOR.2016.19 del 5 novembre 2018</w:t>
      </w:r>
    </w:p>
    <w:p>
      <w:pPr>
        <w:pStyle w:val="Heading2"/>
      </w:pPr>
      <w:r>
        <w:t>Erwägungen</w:t>
      </w:r>
    </w:p>
    <w:p>
      <w:r>
        <w:rPr>
          <w:b/>
        </w:rPr>
        <w:t>E. 20</w:t>
      </w:r>
    </w:p>
    <w:p>
      <w:r>
        <w:t>November 2017 bezwecken will, wird nicht ohne weiteres klar. Sie weist einzig auf einen möglichen negativen Kompetenzkonflikt hin, zeigt aber nicht auf, wie dieser aufzulösen wäre. Im Rahmen des Grundsatzes iura novit curia ist zu prüfen, ob sich daraus irgendeine Pflicht des Handelsge- richts ergibt, trotz Anwendbarkeit der Schiedsklausel im vorliegenden Fall auf die Klage einzutreten. Es ist nicht ersichtlich, inwiefern die Schiedsklausel hinfällig, unwirksam oder nicht erfüllbar sein sollte. Die Klägerin macht solches denn auch nicht geltend. Das Handelsgericht ist deshalb gemäss Art. II Ziff. 3 NYÜ ver- pflichtet, die Parteien auf das schiedsrichterliche Verfahren zu verweisen. Das LugÜ und das NYÜ sehen keine Notzuständigkeiten vor. In Art. 3 IPRG ist eine solche vorgesehen. Diese kommt aber nur zur Anwendung, wenn die klagende Partei die Gründe für deren Anwendbarkeit darlegt und die zugrundeliegenden Tatsachen beweist, was die Klägerin vorliegend ver- säumt hat. So hat sie weder das schiedsgerichtliche Urteil vom 20. Novem- ber 2017 eingereicht noch hat sie bewiesen, dass eine Klage im Ausland unmöglich oder unzumutbar wäre. Auch die Gefahr eines negativen Kompetenzkonflikts bezüglich der geltend gemachten Ansprüche ist nicht erkennbar. Das Schiedsgericht hat im Urteil vom 20. November 2017 zwar seine Zuständigkeit ratione personae für die Beklagte verneint. Dies allerdings nur deshalb, weil es davon ausging, die Beklagte sei nicht Vertragspartei, sondern vielmehr Hilfsperson der B._____-X/Y AG gewesen (Beilage 1 zur beklagtischen Stellungnahme vom 6. Juni 2018 N. 435). Allfällige Ansprüche gegen die B._____-Gruppe bezüglich des schweizerischen Territoriums wären somit gegen die 59 VOLKEN, in: Girsberger et al., Zürcher Kommentar zum IPRG, 2. Aufl. 2004, Art. 3 N. 16, 19. 60 BSK IPRG-BERTI/DROESE (Fn. 12), Art. 3 N. 9 mit Beispielen. 61 BSK IPRG-BERTI/DROESE (Fn. 12), Art. 3 N. 13. 62 BSK IPRG-BERTI/DROESE (Fn. 12), Art. 3 N. 7. 63 BSK IPRG-BERTI/DROESE (Fn. 12), Art. 3 N. 5. 64 BSK IPRG-BERTI/DROESE (Fn. 12), Art. 3 N. 4.</w:t>
      </w:r>
    </w:p>
    <w:p>
      <w:r>
        <w:t>- 41 - B._____-X/Y AG geltend zu machen. Die Rechtsdurchsetzung der geltend gemachten Ansprüche ist mithin nicht definitiv vereitelt. 5. Fazit Zusammenfassend ergibt sich, dass die von der Klägerin eingeklagten For- derungen betreffend Warenbestellungen und -lieferungen der Monate Ok- tober, November und Dezember 2015 der schiedsgerichtlichen Zuständig- keit unterliegen. Folglich ist auf die Klage vom 6. Mai 2016 nicht einzutre- ten. 6. Prozesskosten 6.1. Verteilung Die Prozesskosten werden gemäss Art. 106 Abs. 2 ZPO im Verhältnis des Obsiegens bzw. Unterliegens auferlegt. Dementsprechend sind die Pro- zesskosten der Klägerin aufzuerlegen. Die Prozesskosten bestehen aus den Gerichtskosten und der Parteientschädigung (Art. 95 Abs. 1 ZPO). 6.2. Streitwert Die Klägerin hat einen Betrag von insgesamt EUR 614'040.47 eingeklagt. Fremdwährungsforderungen sind auf das Datum der Begründung der Rechtshängigkeit, vorliegend also auf den Tag der Klageeinreichung, den 6. Mai 2016, in Schweizer Franken umzurechnen. Unter Anwendung des per 6. Mai 2016 massgebenden Wechselkurses (1 EUR=1.107 CHF65) re- sultiert ein Streitwert von Fr. 679'742.80. 6.3. Gerichtskosten Die Gerichtskosten bestehen vorliegend zunächst aus der Entscheidge- bühr (Art. 95 Abs. 2 lit. b ZPO). Sodann hat das Gericht Rechtsgutachten eingeholt. Es hat sich entsprechend der Mittel des Beweisverfahrens be- dient und vorgängig Kostenvorschüsse erhoben, was gemäss bundesge- richtlicher Rechtsprechung zulässig ist.66 Die Kosten für die Erstellung der Rechtsgutachten bilden ebenfalls Teil der Gerichtskosten (Art. 95 Abs. 2 lit. c ZPO analog). 6.3.1. Entscheidgebühr Bei einem Streitwert von Fr. 679'742.80 beträgt der Grundansatz für die Gerichtsgebühr Fr. 19'866.14 (§ 7 Abs. 1 VDK). Weil das Verfahren nicht vollständig durchgeführt wurde (§ 13 Abs. 1 VKD), aber doch erheblichen Aufwand verursachte, rechtfertigt sich vorliegend eine Reduktion der Ge- richtskosten um rund 50 % auf gerundet Fr. 9'500.00 (§ 13 Abs. 1 VDK). 65 Siehe &lt;http://fxtop.com/de/vergangene-rechner.php?A=614040.47&amp;C1=EUR&amp;C2=CHF&amp;DD= 06&amp;MM=05&amp;YYYY=2016&amp;B=1&amp;P=&amp;I=1&amp;btnOK=Gehen&gt;, zuletzt besucht am 6. November 2018. 66 BGer 4A_65/2017 vom 19. September 2017 E. 2.2.1.</w:t>
      </w:r>
    </w:p>
    <w:p>
      <w:r>
        <w:t>- 42 - 6.3.2. Kosten für Rechtsgutachten Die Kosten für die Erstellung der Rechtsgutachten vom 19. Oktober 2017 und 4. Mai 2018 belaufen sich auf Fr. 14'774.40 (Rechnung des Instituts für Rechtsvergleich vom 14. Dezember 2017; für das Ergänzungsrechts- gutachten vom 4. Mai 2018 wurden vom Institut für Rechtsvergleichung keine Kosten in Rechnung gestellt). 6.3.3. Liquidation Die von der Klägerin zu tragenden Gerichtskosten in Höhe von total Fr. 24'274.40 werden mit den von der Klägerin geleisteten Kostenvorschüs- sen in Höhe von Fr. 28'250.00 verrechnet (Art. 111 Abs. 1 ZPO). Der Über- schuss von Fr. 3'975.60 wird der Klägerin nach Rechtskraft dieses Urteils zurückerstattet. Die von der Beklagten geleisteten Beweiskostenvorschüsse in Höhe von Fr. 8'250.00 werden ihr nach Rechtskraft dieses Urteils zurückerstattet. 6.4. Parteientschädigung Die Parteientschädigung bemisst sich ebenfalls nach dem Streitwert (§ 3 AnwT). Die Grundentschädigung beträgt vorliegend Fr. 36'731.51 (§ 3 Abs. 1 lit. a Ziff. 8 AnwT), womit eine Rechtsschrift und die Teilnahme an einer behördlichen Verhandlung abgegolten sind (§ 6 Abs. 1 AnwT). Die gemäss § 6 Abs. 3 AnwT vorgesehene Erhöhung der Grundentschädigung für die Duplik im beschränkten Verfahren entfällt vorliegend, weil keine Hauptverhandlung durchgeführt wurde. Für die zusätzlichen Eingaben vom 30. März, 20. November, 15. Dezember 2017, 1. Juni und 6. Juni 2018 er- scheint eine Erhöhung des Grundansatzes um jeweils 5 %, d.h. insgesamt</w:t>
      </w:r>
    </w:p>
    <w:p>
      <w:r>
        <w:rPr>
          <w:b/>
        </w:rPr>
        <w:t>E. 25</w:t>
      </w:r>
    </w:p>
    <w:p>
      <w:r>
        <w:t>% angemessen (§ 6 Abs. 3 AnwT). Für die übrigen ausserhalb des Schriftenwechsels erfolgten Eingaben der Beklagten ist hingegen keine weitere Erhöhung der Grundentschädigung angezeigt, weil die Eingaben freiwillig erfolgten und als nicht notwendig erscheinen. Damit resultiert ein Betrag in Höhe von Fr. 45'914.40. Dieser ist wiederum um 40 % zu redu- zieren, weil im vorliegend beschränkten Verfahren einzig die Frage der Zu- ständigkeit zu prüfen war (§ 7 Abs. 2 AnwT). Zuzüglich einer Auslagenpau- schale von praxisgemäss 3 % (§ 13 Abs. 1 AnwT) resultiert eine Entschä- digung in Höhe von gerundet Fr. 28'375.00, welche die Klägerin der Be- klagten als Parteientschädigung zu bezahlen hat.</w:t>
      </w:r>
    </w:p>
    <w:p>
      <w:r>
        <w:t>- 43 - Das Handelsgericht erkennt: 1. Auf die Klage vom 6. Mai 2016 wird nicht eingetreten und die Klägerin wird i.S.v. Art. II Ziff. 3 des New Yorker Übereinkommens vom 10. Juni 1958 über die Anerkennung und Vollstreckung ausländischer Schiedssprü- che auf das schiedsrichterliche Verfahren verwiesen. 2. Die Gerichtskosten von 24'274.40, bestehend aus der Entscheidgebühr in Höhe von Fr. 9'500.00 und den Kosten für die Einholung von Rechtsgut- achten in Höhe von Fr. 14'774.40, werden der Klägerin auferlegt. Die Ge- richtskosten werden mit den von der Klägerin geleisteten Kostenvorschüs- sen verrechnet. 3. Die Klägerin hat der Beklagten eine Parteientschädigung in gerichtlich fest- gesetzter Höhe von Fr. 28'375.00 (inkl. Auslagen) zu bezahlen. Zustellung an: - […] 1. Rechtsmittelbelehrung für die Beschwerde in Zivilsachen (Art. 72 ff., Art. 90 ff. BGG) Gegen diesen Entscheid kann innert 30 Tagen, von der schriftlichen Eröff- nung der vollständigen Ausfertigung des Entscheides an gerechnet, die Be- schwerde an das Schweizerische Bundesgericht erhoben werden. Die Beschwerde ist schriftlich oder in elektronischer Form beim Schweize- rischen Bundesgericht einzureichen. Die Beschwerdeschrift ist in einer Amtssprache abzufassen und hat die Begehren, deren Begründung mit An- gabe der Beweismittel und die Unterschriften bzw. eine anerkannte elekt- ronische Signatur zu enthalten. In der Begründung ist in gedrängter Form darzulegen, inwiefern der angefochtene Entscheid Recht (Art. 95 ff. BGG) verletzt. Die Urkunden, auf die sich die Partei als Beweismittel beruft, sind beizulegen, soweit die Partei sie in den Händen hat; ebenso ist der ange- fochtene Entscheid beizulegen (Art. 42 BGG).</w:t>
      </w:r>
    </w:p>
    <w:p>
      <w:r>
        <w:t>- 44 - Aarau, 5. November 2018 Handelsgericht des Kantons Aargau 1. Kammer Der Präsident: Die Gerichtsschreiberin Dubs Schmutz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