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ZVE.2013.5 vom 27. Mai 2013</w:t>
      </w:r>
    </w:p>
    <w:p>
      <w:r>
        <w:t>AG Gerichte, 2013-05-27, DE</w:t>
      </w:r>
    </w:p>
    <w:p>
      <w:r>
        <w:rPr>
          <w:b/>
        </w:rPr>
        <w:t xml:space="preserve">Quelle: </w:t>
      </w:r>
      <w:r>
        <w:t>https://mcp.opencaselaw.ch/entscheid/ag_gerichte_ZVE.2013.5</w:t>
      </w:r>
    </w:p>
    <w:p>
      <w:r>
        <w:t>FR: AG_GERICHTE ZVE.2013.5 du 27 mai 2013</w:t>
      </w:r>
    </w:p>
    <w:p>
      <w:r>
        <w:t>IT: AG_GERICHTE ZVE.2013.5 del 27 maggio 2013</w:t>
      </w:r>
    </w:p>
    <w:p>
      <w:pPr>
        <w:pStyle w:val="Heading2"/>
      </w:pPr>
      <w:r>
        <w:t>Regeste</w:t>
      </w:r>
    </w:p>
    <w:p>
      <w:r>
        <w:t>Art. 92 Abs. 2 ZPO. § 4 Abs. 1 AnwT. In Mietzinsfestsetzungsverfahren gilt als Streitwert für die Bemessung der Parteientschädigung nicht der zwanzigfache, sondern nur der vierfache Betrag der einjährigen Nutzung oder Leistung.</w:t>
      </w:r>
    </w:p>
    <w:p>
      <w:pPr>
        <w:pStyle w:val="Heading2"/>
      </w:pPr>
      <w:r>
        <w:t>Volltext</w:t>
      </w:r>
    </w:p>
    <w:p>
      <w:r>
        <w:t>Aargau Obergericht Zivilkammern 27.05.2013 ZVE.2013.5 Argovie Obergericht Zivilkammern 27.05.2013 ZVE.2013.5 Argovia Obergericht Zivilkammern 27.05.2013 ZVE.2013.5</w:t>
      </w:r>
    </w:p>
    <w:p>
      <w:r>
        <w:t>Art. 92 Abs. 2 ZPO. § 4 Abs. 1 AnwT. In Mietzinsfestsetzungsverfahren gilt als Streitwert für die Bemessung der Parteientschädigung nicht der zwanzigfache, sondern nur der vierfache Betrag der einjährigen Nutzung oder Leistung.</w:t>
      </w:r>
    </w:p>
    <w:p>
      <w:r>
        <w:t>Aargau Obergericht Zivilkammern Argovie Obergericht Zivilkammern Argovia Obergericht Zivilkammern Obergericht / Zivilgericht / 4. Zivilkammer Obergericht / Zivilgericht / 4. Zivilkammer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