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WNO.2012.2 vom 27. September 2012</w:t>
      </w:r>
    </w:p>
    <w:p>
      <w:r>
        <w:t>AG Gerichte, 2012-09-27, DE</w:t>
      </w:r>
    </w:p>
    <w:p>
      <w:r>
        <w:rPr>
          <w:b/>
        </w:rPr>
        <w:t xml:space="preserve">Quelle: </w:t>
      </w:r>
      <w:r>
        <w:t>https://mcp.opencaselaw.ch/entscheid/ag_gerichte_WNO.2012.2</w:t>
      </w:r>
    </w:p>
    <w:p>
      <w:r>
        <w:t>FR: AG_GERICHTE WNO.2012.2 du 27 septembre 2012</w:t>
      </w:r>
    </w:p>
    <w:p>
      <w:r>
        <w:t>IT: AG_GERICHTE WNO.2012.2 del 27 settembre 2012</w:t>
      </w:r>
    </w:p>
    <w:p>
      <w:pPr>
        <w:pStyle w:val="Heading2"/>
      </w:pPr>
      <w:r>
        <w:t>Regeste</w:t>
      </w:r>
    </w:p>
    <w:p>
      <w:r>
        <w:t>Gewässerschutz; Normenkontrolle - § 91 Abs. 2bis lit. a der Kantonsverfassung ermächtigt den Regierungsrat zum Erlass von kantonalem Ausführungsrecht innerhalb der vom Bundesrecht vorgegebenen inhaltlichen Gestaltungsmöglichkeiten (Erw. 4.2 und 4.3). - Nach Bundes- und kantonalem Bau- und Umweltrecht ist die Rechtsetzungsbefugnis des Regierungsrats auf den Erlass von Vollziehungsbestimmungen im engeren Sinn beschränkt (Erw. 4.4). - Die §§ 3-6 der Vollzugsverordnung zur Gewässerschutzverordnung des Bundes (VV GSchV) vom 25. Januar 2012 (SAR 781.221) sind wegen fehlender Rechtsetzungsbefugnis des Regierungsrats aufzuheben (Erw. 5). - Bis zur Festlegung des Gewässerraumes gelten die Gewässerabstände gemäss Abs. 2 der Übergangsbestimmungen zur Änderung der Gewässerschutzverordnung vom 4. Mai 2011 (AS 2011, S. 1963) (Erw. 6).</w:t>
      </w:r>
    </w:p>
    <w:p>
      <w:pPr>
        <w:pStyle w:val="Heading2"/>
      </w:pPr>
      <w:r>
        <w:t>Volltext</w:t>
      </w:r>
    </w:p>
    <w:p>
      <w:r>
        <w:t>Aargau Obergericht Verwaltungsgericht 27.09.2012 WNO.2012.2</w:t>
      </w:r>
    </w:p>
    <w:p>
      <w:r>
        <w:t>Gewässerschutz; Normenkontrolle - § 91 Abs. 2bis lit. a der Kantonsverfassung ermächtigt den Regierungsrat zum Erlass von kantonalem Ausführungsrecht innerhalb der vom Bundesrecht vorgegebenen inhaltlichen Gestaltungsmöglichkeiten (Erw. 4.2 und 4.3). - Nach Bundes- und kantonalem Bau- und Umweltrecht ist die Rechtsetzungsbefugnis des Regierungsrats auf den Erlass von Vollziehungsbestimmungen im engeren Sinn beschränkt (Erw. 4.4). - Die §§ 3-6 der Vollzugsverordnung zur Gewässerschutzverordnung des Bundes (VV GSchV) vom 25. Januar 2012 (SAR 781.221) sind wegen fehlender Rechtsetzungsbefugnis des Regierungsrats aufzuheben (Erw. 5). - Bis zur Festlegung des Gewässerraumes gelten die Gewässerabstände gemäss Abs. 2 der Übergangsbestimmungen zur Änderung der Gewässerschutzverordnung vom 4. Mai 2011 (AS 2011, S. 1963) (Erw. 6).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